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62D14" w14:textId="460E4C24" w:rsidR="00F332DD" w:rsidRPr="00971208" w:rsidRDefault="00F332DD" w:rsidP="00F332DD">
      <w:pPr>
        <w:jc w:val="center"/>
        <w:rPr>
          <w:rFonts w:ascii="Arial" w:hAnsi="Arial" w:cs="Arial"/>
          <w:b/>
          <w:bCs/>
          <w:lang w:val="es-419"/>
        </w:rPr>
      </w:pPr>
      <w:r w:rsidRPr="00971208">
        <w:rPr>
          <w:rFonts w:ascii="Arial" w:hAnsi="Arial" w:cs="Arial"/>
          <w:b/>
          <w:bCs/>
          <w:lang w:val="es-419"/>
        </w:rPr>
        <w:t>DERECHO A JUICIO RÁPIDO EN TIEMPOS DEL COVID-19</w:t>
      </w:r>
    </w:p>
    <w:p w14:paraId="2D8BCE55" w14:textId="77777777" w:rsidR="00385C58" w:rsidRPr="00971208" w:rsidRDefault="00385C58" w:rsidP="00F332DD">
      <w:pPr>
        <w:jc w:val="center"/>
        <w:rPr>
          <w:rFonts w:ascii="Arial" w:hAnsi="Arial" w:cs="Arial"/>
          <w:b/>
          <w:bCs/>
          <w:lang w:val="es-419"/>
        </w:rPr>
      </w:pPr>
    </w:p>
    <w:p w14:paraId="5D60D94F" w14:textId="73BD73BF" w:rsidR="00423D86" w:rsidRPr="00971208" w:rsidRDefault="00385C58" w:rsidP="00423D86">
      <w:pPr>
        <w:pStyle w:val="ListParagraph"/>
        <w:numPr>
          <w:ilvl w:val="0"/>
          <w:numId w:val="18"/>
        </w:numPr>
        <w:spacing w:after="160" w:line="360" w:lineRule="auto"/>
        <w:jc w:val="both"/>
        <w:rPr>
          <w:rFonts w:ascii="Arial" w:hAnsi="Arial" w:cs="Arial"/>
          <w:b/>
          <w:bCs/>
        </w:rPr>
      </w:pPr>
      <w:r w:rsidRPr="00971208">
        <w:rPr>
          <w:rFonts w:ascii="Arial" w:hAnsi="Arial" w:cs="Arial"/>
          <w:b/>
          <w:bCs/>
        </w:rPr>
        <w:t>DISCUSIÓN SOBRE JUICIO RÁPIDO A NIVEL FEDERAL Y ESTATAL</w:t>
      </w:r>
    </w:p>
    <w:p w14:paraId="22A90A85" w14:textId="5E8BE5C4" w:rsidR="00957EA5" w:rsidRPr="00971208" w:rsidRDefault="00385C58" w:rsidP="00957EA5">
      <w:pPr>
        <w:pStyle w:val="ListParagraph"/>
        <w:numPr>
          <w:ilvl w:val="0"/>
          <w:numId w:val="20"/>
        </w:numPr>
        <w:spacing w:after="160" w:line="360" w:lineRule="auto"/>
        <w:jc w:val="both"/>
        <w:rPr>
          <w:rFonts w:ascii="Arial" w:hAnsi="Arial" w:cs="Arial"/>
        </w:rPr>
      </w:pPr>
      <w:r w:rsidRPr="00971208">
        <w:rPr>
          <w:rFonts w:ascii="Arial" w:hAnsi="Arial" w:cs="Arial"/>
        </w:rPr>
        <w:t>Juicio Rápido, la Constitución y la Regla 64 (n)</w:t>
      </w:r>
    </w:p>
    <w:p w14:paraId="677D9CB0" w14:textId="3AB28E89" w:rsidR="00423D86" w:rsidRPr="00971208" w:rsidRDefault="00423D86" w:rsidP="00423D86">
      <w:pPr>
        <w:spacing w:line="360" w:lineRule="auto"/>
        <w:ind w:firstLine="360"/>
        <w:jc w:val="both"/>
        <w:rPr>
          <w:rFonts w:ascii="Arial" w:hAnsi="Arial" w:cs="Arial"/>
          <w:lang w:val="es-419"/>
        </w:rPr>
      </w:pPr>
      <w:r w:rsidRPr="00971208">
        <w:rPr>
          <w:rFonts w:ascii="Arial" w:hAnsi="Arial" w:cs="Arial"/>
          <w:lang w:val="es-419"/>
        </w:rPr>
        <w:t xml:space="preserve">A diferencia de a nivel federal, </w:t>
      </w:r>
      <w:r w:rsidR="009311C8" w:rsidRPr="00971208">
        <w:rPr>
          <w:rFonts w:ascii="Arial" w:hAnsi="Arial" w:cs="Arial"/>
          <w:lang w:val="es-419"/>
        </w:rPr>
        <w:t xml:space="preserve">el derecho a juicio rápido </w:t>
      </w:r>
      <w:r w:rsidRPr="00971208">
        <w:rPr>
          <w:rFonts w:ascii="Arial" w:hAnsi="Arial" w:cs="Arial"/>
          <w:lang w:val="es-419"/>
        </w:rPr>
        <w:t xml:space="preserve">en Puerto Rico emana de </w:t>
      </w:r>
      <w:r w:rsidR="009311C8" w:rsidRPr="00971208">
        <w:rPr>
          <w:rFonts w:ascii="Arial" w:hAnsi="Arial" w:cs="Arial"/>
          <w:lang w:val="es-419"/>
        </w:rPr>
        <w:t>la</w:t>
      </w:r>
      <w:r w:rsidRPr="00971208">
        <w:rPr>
          <w:rFonts w:ascii="Arial" w:hAnsi="Arial" w:cs="Arial"/>
          <w:lang w:val="es-419"/>
        </w:rPr>
        <w:t xml:space="preserve"> Constitución. El </w:t>
      </w:r>
      <w:r w:rsidR="005F1AC8" w:rsidRPr="00971208">
        <w:rPr>
          <w:rFonts w:ascii="Arial" w:hAnsi="Arial" w:cs="Arial"/>
          <w:lang w:val="es-419"/>
        </w:rPr>
        <w:t xml:space="preserve">Art. </w:t>
      </w:r>
      <w:r w:rsidRPr="00971208">
        <w:rPr>
          <w:rFonts w:ascii="Arial" w:hAnsi="Arial" w:cs="Arial"/>
          <w:lang w:val="es-419"/>
        </w:rPr>
        <w:t xml:space="preserve">II </w:t>
      </w:r>
      <w:r w:rsidR="005F1AC8" w:rsidRPr="00971208">
        <w:rPr>
          <w:rFonts w:ascii="Arial" w:hAnsi="Arial" w:cs="Arial"/>
          <w:lang w:val="es-419"/>
        </w:rPr>
        <w:t>Sec.</w:t>
      </w:r>
      <w:r w:rsidRPr="00971208">
        <w:rPr>
          <w:rFonts w:ascii="Arial" w:hAnsi="Arial" w:cs="Arial"/>
          <w:lang w:val="es-419"/>
        </w:rPr>
        <w:t xml:space="preserve"> XI lo plasma así explícitamente: “En todos los procesos criminales, el acusado disfrutará del derecho a un </w:t>
      </w:r>
      <w:r w:rsidRPr="00971208">
        <w:rPr>
          <w:rFonts w:ascii="Arial" w:hAnsi="Arial" w:cs="Arial"/>
          <w:i/>
          <w:iCs/>
          <w:lang w:val="es-419"/>
        </w:rPr>
        <w:t>juicio rápido</w:t>
      </w:r>
      <w:r w:rsidRPr="00971208">
        <w:rPr>
          <w:rFonts w:ascii="Arial" w:hAnsi="Arial" w:cs="Arial"/>
          <w:lang w:val="es-419"/>
        </w:rPr>
        <w:t xml:space="preserve"> y público”.</w:t>
      </w:r>
      <w:r w:rsidRPr="00971208">
        <w:rPr>
          <w:rStyle w:val="FootnoteReference"/>
          <w:rFonts w:ascii="Arial" w:hAnsi="Arial" w:cs="Arial"/>
        </w:rPr>
        <w:footnoteReference w:id="1"/>
      </w:r>
      <w:r w:rsidRPr="00971208">
        <w:rPr>
          <w:rFonts w:ascii="Arial" w:hAnsi="Arial" w:cs="Arial"/>
          <w:lang w:val="es-419"/>
        </w:rPr>
        <w:t xml:space="preserve"> La jurisprudencia nos ofrece tres prop</w:t>
      </w:r>
      <w:r w:rsidR="00130101" w:rsidRPr="00971208">
        <w:rPr>
          <w:rFonts w:ascii="Arial" w:hAnsi="Arial" w:cs="Arial"/>
          <w:lang w:val="es-419"/>
        </w:rPr>
        <w:t>o</w:t>
      </w:r>
      <w:r w:rsidRPr="00971208">
        <w:rPr>
          <w:rFonts w:ascii="Arial" w:hAnsi="Arial" w:cs="Arial"/>
          <w:lang w:val="es-419"/>
        </w:rPr>
        <w:t xml:space="preserve">sitos que busca procurar este derecho: </w:t>
      </w:r>
      <w:r w:rsidRPr="00971208">
        <w:rPr>
          <w:rFonts w:ascii="Arial" w:hAnsi="Arial" w:cs="Arial"/>
          <w:shd w:val="clear" w:color="auto" w:fill="FFFFFF"/>
          <w:lang w:val="es-419"/>
        </w:rPr>
        <w:t>1) proteger al acusado contra una detención opresiva; 2) minimizar sus ansiedades y preocupaciones, y 3) reducir las posibilidades de que su defensa se afecte.</w:t>
      </w:r>
      <w:r w:rsidRPr="00971208">
        <w:rPr>
          <w:rStyle w:val="FootnoteReference"/>
          <w:rFonts w:ascii="Arial" w:hAnsi="Arial" w:cs="Arial"/>
          <w:shd w:val="clear" w:color="auto" w:fill="FFFFFF"/>
        </w:rPr>
        <w:footnoteReference w:id="2"/>
      </w:r>
      <w:r w:rsidRPr="00971208">
        <w:rPr>
          <w:rFonts w:ascii="Arial" w:hAnsi="Arial" w:cs="Arial"/>
          <w:shd w:val="clear" w:color="auto" w:fill="FFFFFF"/>
          <w:lang w:val="es-419"/>
        </w:rPr>
        <w:t xml:space="preserve"> La primera justificación realmente apunta a una preocupación de que esencialmente se esté deteniendo y castigando a una persona </w:t>
      </w:r>
      <w:r w:rsidR="005F1AC8" w:rsidRPr="00971208">
        <w:rPr>
          <w:rFonts w:ascii="Arial" w:hAnsi="Arial" w:cs="Arial"/>
          <w:shd w:val="clear" w:color="auto" w:fill="FFFFFF"/>
          <w:lang w:val="es-419"/>
        </w:rPr>
        <w:t>que se</w:t>
      </w:r>
      <w:r w:rsidRPr="00971208">
        <w:rPr>
          <w:rFonts w:ascii="Arial" w:hAnsi="Arial" w:cs="Arial"/>
          <w:shd w:val="clear" w:color="auto" w:fill="FFFFFF"/>
          <w:lang w:val="es-419"/>
        </w:rPr>
        <w:t xml:space="preserve"> presume </w:t>
      </w:r>
      <w:r w:rsidR="005F1AC8" w:rsidRPr="00971208">
        <w:rPr>
          <w:rFonts w:ascii="Arial" w:hAnsi="Arial" w:cs="Arial"/>
          <w:shd w:val="clear" w:color="auto" w:fill="FFFFFF"/>
          <w:lang w:val="es-419"/>
        </w:rPr>
        <w:t>inocente</w:t>
      </w:r>
      <w:r w:rsidRPr="00971208">
        <w:rPr>
          <w:rFonts w:ascii="Arial" w:hAnsi="Arial" w:cs="Arial"/>
          <w:shd w:val="clear" w:color="auto" w:fill="FFFFFF"/>
          <w:lang w:val="es-419"/>
        </w:rPr>
        <w:t>. La segunda preocupaci</w:t>
      </w:r>
      <w:r w:rsidR="00AB6CCA" w:rsidRPr="00971208">
        <w:rPr>
          <w:rFonts w:ascii="Arial" w:hAnsi="Arial" w:cs="Arial"/>
          <w:shd w:val="clear" w:color="auto" w:fill="FFFFFF"/>
          <w:lang w:val="es-419"/>
        </w:rPr>
        <w:t>o</w:t>
      </w:r>
      <w:r w:rsidRPr="00971208">
        <w:rPr>
          <w:rFonts w:ascii="Arial" w:hAnsi="Arial" w:cs="Arial"/>
          <w:shd w:val="clear" w:color="auto" w:fill="FFFFFF"/>
          <w:lang w:val="es-419"/>
        </w:rPr>
        <w:t xml:space="preserve">n surge del daño psicológico que se sufre al mantener a alguien esperando por la conclusión de un procedimiento que podría resultar en la privación de su libertad. Finalmente, el Tribunal apunta a que la capacida de alguien defenderse adecuadamente puede verse afectada por una dilación indebida, ya que hay prueba que es susceptible a deteriorar con el tiempo. Además, la jurisprudencia ayuda a determinar cuándo se activa el derecho a juicio rápido; cuando un ciudadao queda sujeto a responder por la comisión de un delito, </w:t>
      </w:r>
      <w:r w:rsidR="00F332DD" w:rsidRPr="00971208">
        <w:rPr>
          <w:rFonts w:ascii="Arial" w:hAnsi="Arial" w:cs="Arial"/>
          <w:shd w:val="clear" w:color="auto" w:fill="FFFFFF"/>
          <w:lang w:val="es-419"/>
        </w:rPr>
        <w:t xml:space="preserve">o </w:t>
      </w:r>
      <w:r w:rsidRPr="00971208">
        <w:rPr>
          <w:rFonts w:ascii="Arial" w:hAnsi="Arial" w:cs="Arial"/>
          <w:shd w:val="clear" w:color="auto" w:fill="FFFFFF"/>
          <w:lang w:val="es-419"/>
        </w:rPr>
        <w:t>sea “desde el momento en que un juez determina causa probable para arrestar, citar o detener a dicho ciudadano por la comisión de un delito imputado</w:t>
      </w:r>
      <w:r w:rsidR="007D3009" w:rsidRPr="00971208">
        <w:rPr>
          <w:rFonts w:ascii="Arial" w:hAnsi="Arial" w:cs="Arial"/>
          <w:shd w:val="clear" w:color="auto" w:fill="FFFFFF"/>
          <w:lang w:val="es-419"/>
        </w:rPr>
        <w:t>.</w:t>
      </w:r>
      <w:r w:rsidRPr="00971208">
        <w:rPr>
          <w:rFonts w:ascii="Arial" w:hAnsi="Arial" w:cs="Arial"/>
          <w:shd w:val="clear" w:color="auto" w:fill="FFFFFF"/>
          <w:lang w:val="es-419"/>
        </w:rPr>
        <w:t>”</w:t>
      </w:r>
      <w:r w:rsidRPr="00971208">
        <w:rPr>
          <w:rStyle w:val="FootnoteReference"/>
          <w:rFonts w:ascii="Arial" w:hAnsi="Arial" w:cs="Arial"/>
          <w:shd w:val="clear" w:color="auto" w:fill="FFFFFF"/>
        </w:rPr>
        <w:footnoteReference w:id="3"/>
      </w:r>
      <w:r w:rsidRPr="00971208">
        <w:rPr>
          <w:rFonts w:ascii="Arial" w:hAnsi="Arial" w:cs="Arial"/>
          <w:shd w:val="clear" w:color="auto" w:fill="FFFFFF"/>
          <w:lang w:val="es-419"/>
        </w:rPr>
        <w:t xml:space="preserve"> A pesar de la gran importancia de este derecho, el Tribunal  nos recuerda que “</w:t>
      </w:r>
      <w:r w:rsidRPr="00971208">
        <w:rPr>
          <w:rFonts w:ascii="Arial" w:hAnsi="Arial" w:cs="Arial"/>
          <w:lang w:val="es-419"/>
        </w:rPr>
        <w:t>[e]l derecho constitucional a un </w:t>
      </w:r>
      <w:r w:rsidRPr="00971208">
        <w:rPr>
          <w:rStyle w:val="cosearchterm"/>
          <w:rFonts w:ascii="Arial" w:hAnsi="Arial" w:cs="Arial"/>
          <w:bdr w:val="none" w:sz="0" w:space="0" w:color="auto" w:frame="1"/>
          <w:lang w:val="es-419"/>
        </w:rPr>
        <w:t>rápido</w:t>
      </w:r>
      <w:r w:rsidRPr="00971208">
        <w:rPr>
          <w:rFonts w:ascii="Arial" w:hAnsi="Arial" w:cs="Arial"/>
          <w:lang w:val="es-419"/>
        </w:rPr>
        <w:t> enjuiciamiento es un concepto cuyo contenido no está del todo determinado en forma objetiva. Este derecho es variable y flexibe. Además, debe ajustarse a las exigencias de cada caso en particular”.</w:t>
      </w:r>
      <w:r w:rsidRPr="00971208">
        <w:rPr>
          <w:rStyle w:val="FootnoteReference"/>
          <w:rFonts w:ascii="Arial" w:hAnsi="Arial" w:cs="Arial"/>
        </w:rPr>
        <w:footnoteReference w:id="4"/>
      </w:r>
      <w:r w:rsidRPr="00971208">
        <w:rPr>
          <w:rFonts w:ascii="Arial" w:hAnsi="Arial" w:cs="Arial"/>
          <w:lang w:val="es-419"/>
        </w:rPr>
        <w:t xml:space="preserve"> Es decir, el derecho a juicio r</w:t>
      </w:r>
      <w:r w:rsidR="00FE0E60" w:rsidRPr="00971208">
        <w:rPr>
          <w:rFonts w:ascii="Arial" w:hAnsi="Arial" w:cs="Arial"/>
          <w:lang w:val="es-419"/>
        </w:rPr>
        <w:t>a</w:t>
      </w:r>
      <w:r w:rsidRPr="00971208">
        <w:rPr>
          <w:rFonts w:ascii="Arial" w:hAnsi="Arial" w:cs="Arial"/>
          <w:lang w:val="es-419"/>
        </w:rPr>
        <w:t>pido es igual que cualquier otro derecho constitucional en el sentido de que tiene un límite y debe ceder en ciertas circunstancias.</w:t>
      </w:r>
    </w:p>
    <w:p w14:paraId="58F108D7" w14:textId="144B089B" w:rsidR="00423D86" w:rsidRPr="00971208" w:rsidRDefault="00423D86" w:rsidP="00423D86">
      <w:pPr>
        <w:spacing w:line="360" w:lineRule="auto"/>
        <w:ind w:firstLine="360"/>
        <w:jc w:val="both"/>
        <w:rPr>
          <w:rFonts w:ascii="Arial" w:hAnsi="Arial" w:cs="Arial"/>
          <w:lang w:val="es-419"/>
        </w:rPr>
      </w:pPr>
      <w:r w:rsidRPr="00971208">
        <w:rPr>
          <w:rFonts w:ascii="Arial" w:hAnsi="Arial" w:cs="Arial"/>
          <w:lang w:val="es-419"/>
        </w:rPr>
        <w:t xml:space="preserve">Este derecho constitucional ha sido codificado por legisladores en la Regla 64 (n) de las Reglas de </w:t>
      </w:r>
      <w:r w:rsidR="006B7962" w:rsidRPr="00971208">
        <w:rPr>
          <w:rFonts w:ascii="Arial" w:hAnsi="Arial" w:cs="Arial"/>
          <w:lang w:val="es-419"/>
        </w:rPr>
        <w:t xml:space="preserve">Proceso </w:t>
      </w:r>
      <w:r w:rsidRPr="00971208">
        <w:rPr>
          <w:rFonts w:ascii="Arial" w:hAnsi="Arial" w:cs="Arial"/>
          <w:lang w:val="es-419"/>
        </w:rPr>
        <w:t>Criminal. Esta regla requiere la de</w:t>
      </w:r>
      <w:r w:rsidR="004A24AD" w:rsidRPr="00971208">
        <w:rPr>
          <w:rFonts w:ascii="Arial" w:hAnsi="Arial" w:cs="Arial"/>
          <w:lang w:val="es-419"/>
        </w:rPr>
        <w:t>c</w:t>
      </w:r>
      <w:r w:rsidRPr="00971208">
        <w:rPr>
          <w:rFonts w:ascii="Arial" w:hAnsi="Arial" w:cs="Arial"/>
          <w:lang w:val="es-419"/>
        </w:rPr>
        <w:t xml:space="preserve">estimación de un caso criminal </w:t>
      </w:r>
      <w:r w:rsidRPr="00971208">
        <w:rPr>
          <w:rFonts w:ascii="Arial" w:hAnsi="Arial" w:cs="Arial"/>
          <w:lang w:val="es-419"/>
        </w:rPr>
        <w:lastRenderedPageBreak/>
        <w:t>por el fundamento de que se violó uno de los términos establecidos en dicho inciso. Aunque no proveeré una lista exhaustiva de los términos en este escrito, es suficiente notar que estos t</w:t>
      </w:r>
      <w:r w:rsidR="004662D4" w:rsidRPr="00971208">
        <w:rPr>
          <w:rFonts w:ascii="Arial" w:hAnsi="Arial" w:cs="Arial"/>
          <w:lang w:val="es-419"/>
        </w:rPr>
        <w:t>e</w:t>
      </w:r>
      <w:r w:rsidRPr="00971208">
        <w:rPr>
          <w:rFonts w:ascii="Arial" w:hAnsi="Arial" w:cs="Arial"/>
          <w:lang w:val="es-419"/>
        </w:rPr>
        <w:t xml:space="preserve">rminos incluyen varias etapas distintas del procedimiento tales y como el término para encontrar causa desde que se hace un arresto, el término para la lectura de la acusación y el término para que se someta a la persona a juicio, entre otros. De igual manera que el Tribunal advierte que el derecho a juicio rápido no es absoluto, la </w:t>
      </w:r>
      <w:r w:rsidR="00B95F54" w:rsidRPr="00971208">
        <w:rPr>
          <w:rFonts w:ascii="Arial" w:hAnsi="Arial" w:cs="Arial"/>
          <w:lang w:val="es-419"/>
        </w:rPr>
        <w:t>R</w:t>
      </w:r>
      <w:r w:rsidRPr="00971208">
        <w:rPr>
          <w:rFonts w:ascii="Arial" w:hAnsi="Arial" w:cs="Arial"/>
          <w:lang w:val="es-419"/>
        </w:rPr>
        <w:t xml:space="preserve">egla 64 (n) tiene una lista de excepciones por las cuales el Estado podría pasarse de los términos ahí plasmados: “que se demuestre </w:t>
      </w:r>
      <w:r w:rsidRPr="00971208">
        <w:rPr>
          <w:rFonts w:ascii="Arial" w:hAnsi="Arial" w:cs="Arial"/>
          <w:i/>
          <w:iCs/>
          <w:lang w:val="es-419"/>
        </w:rPr>
        <w:t>justa causa</w:t>
      </w:r>
      <w:r w:rsidRPr="00971208">
        <w:rPr>
          <w:rFonts w:ascii="Arial" w:hAnsi="Arial" w:cs="Arial"/>
          <w:lang w:val="es-419"/>
        </w:rPr>
        <w:t xml:space="preserve"> para la demora o a menos que la demora para someter el caso a juicio </w:t>
      </w:r>
      <w:r w:rsidRPr="00971208">
        <w:rPr>
          <w:rFonts w:ascii="Arial" w:hAnsi="Arial" w:cs="Arial"/>
          <w:i/>
          <w:iCs/>
          <w:lang w:val="es-419"/>
        </w:rPr>
        <w:t>se deba a la solicitud del acusado o a su consentimiento”</w:t>
      </w:r>
      <w:r w:rsidRPr="00971208">
        <w:rPr>
          <w:rFonts w:ascii="Arial" w:hAnsi="Arial" w:cs="Arial"/>
          <w:lang w:val="es-419"/>
        </w:rPr>
        <w:t>.</w:t>
      </w:r>
      <w:r w:rsidRPr="00971208">
        <w:rPr>
          <w:rStyle w:val="FootnoteReference"/>
          <w:rFonts w:ascii="Arial" w:hAnsi="Arial" w:cs="Arial"/>
        </w:rPr>
        <w:footnoteReference w:id="5"/>
      </w:r>
      <w:r w:rsidRPr="00971208">
        <w:rPr>
          <w:rFonts w:ascii="Arial" w:hAnsi="Arial" w:cs="Arial"/>
          <w:lang w:val="es-419"/>
        </w:rPr>
        <w:t xml:space="preserve"> Sin embargo, y tal vez en reconocimiento de la importancia de que no se ignore este derecho sin detenida consideración por parte del tribunal, la ley requiere que se celebre una vista evidenciara ante de tomar una decisión sobre la aplicabilidad de alguna de las excepciones. En esta vista, las partes podrás presentar prueba y el tribunal considerar</w:t>
      </w:r>
      <w:r w:rsidR="00500D8F" w:rsidRPr="00971208">
        <w:rPr>
          <w:rFonts w:ascii="Arial" w:hAnsi="Arial" w:cs="Arial"/>
          <w:lang w:val="es-419"/>
        </w:rPr>
        <w:t>a</w:t>
      </w:r>
      <w:r w:rsidRPr="00971208">
        <w:rPr>
          <w:rFonts w:ascii="Arial" w:hAnsi="Arial" w:cs="Arial"/>
          <w:lang w:val="es-419"/>
        </w:rPr>
        <w:t xml:space="preserve"> los siguientes aspectos: 1) Duración de la demora</w:t>
      </w:r>
      <w:r w:rsidR="00084307" w:rsidRPr="00971208">
        <w:rPr>
          <w:rFonts w:ascii="Arial" w:hAnsi="Arial" w:cs="Arial"/>
          <w:lang w:val="es-419"/>
        </w:rPr>
        <w:t>,</w:t>
      </w:r>
      <w:r w:rsidRPr="00971208">
        <w:rPr>
          <w:rFonts w:ascii="Arial" w:hAnsi="Arial" w:cs="Arial"/>
          <w:lang w:val="es-419"/>
        </w:rPr>
        <w:t xml:space="preserve"> 2) razones para la demora</w:t>
      </w:r>
      <w:r w:rsidR="00084307" w:rsidRPr="00971208">
        <w:rPr>
          <w:rFonts w:ascii="Arial" w:hAnsi="Arial" w:cs="Arial"/>
          <w:lang w:val="es-419"/>
        </w:rPr>
        <w:t>,</w:t>
      </w:r>
      <w:r w:rsidRPr="00971208">
        <w:rPr>
          <w:rFonts w:ascii="Arial" w:hAnsi="Arial" w:cs="Arial"/>
          <w:lang w:val="es-419"/>
        </w:rPr>
        <w:t xml:space="preserve"> 3) si la demora fue provocada por el acusado o expresamente consentida por éste</w:t>
      </w:r>
      <w:r w:rsidR="00084307" w:rsidRPr="00971208">
        <w:rPr>
          <w:rFonts w:ascii="Arial" w:hAnsi="Arial" w:cs="Arial"/>
          <w:lang w:val="es-419"/>
        </w:rPr>
        <w:t>,</w:t>
      </w:r>
      <w:r w:rsidRPr="00971208">
        <w:rPr>
          <w:rFonts w:ascii="Arial" w:hAnsi="Arial" w:cs="Arial"/>
          <w:lang w:val="es-419"/>
        </w:rPr>
        <w:t xml:space="preserve"> 4) si el Ministerio Público demostró la existencia de justa causa para la demora, y 5) </w:t>
      </w:r>
      <w:r w:rsidR="00E61395" w:rsidRPr="00971208">
        <w:rPr>
          <w:rFonts w:ascii="Arial" w:hAnsi="Arial" w:cs="Arial"/>
          <w:lang w:val="es-419"/>
        </w:rPr>
        <w:t>l</w:t>
      </w:r>
      <w:r w:rsidRPr="00971208">
        <w:rPr>
          <w:rFonts w:ascii="Arial" w:hAnsi="Arial" w:cs="Arial"/>
          <w:lang w:val="es-419"/>
        </w:rPr>
        <w:t>os perjuicios que la demora haya podido causar.</w:t>
      </w:r>
      <w:r w:rsidRPr="00971208">
        <w:rPr>
          <w:rStyle w:val="FootnoteReference"/>
          <w:rFonts w:ascii="Arial" w:hAnsi="Arial" w:cs="Arial"/>
        </w:rPr>
        <w:footnoteReference w:id="6"/>
      </w:r>
      <w:r w:rsidRPr="00971208">
        <w:rPr>
          <w:rFonts w:ascii="Arial" w:hAnsi="Arial" w:cs="Arial"/>
          <w:lang w:val="es-419"/>
        </w:rPr>
        <w:t xml:space="preserve"> </w:t>
      </w:r>
    </w:p>
    <w:p w14:paraId="31ED1871" w14:textId="27231543" w:rsidR="00423D86" w:rsidRPr="00971208" w:rsidRDefault="00423D86" w:rsidP="00B95F54">
      <w:pPr>
        <w:spacing w:line="480" w:lineRule="auto"/>
        <w:ind w:firstLine="360"/>
        <w:jc w:val="both"/>
        <w:rPr>
          <w:rFonts w:ascii="Arial" w:hAnsi="Arial" w:cs="Arial"/>
          <w:lang w:val="es-419"/>
        </w:rPr>
      </w:pPr>
      <w:r w:rsidRPr="00971208">
        <w:rPr>
          <w:rFonts w:ascii="Arial" w:hAnsi="Arial" w:cs="Arial"/>
          <w:lang w:val="es-419"/>
        </w:rPr>
        <w:t xml:space="preserve">Como se desprende del texto de la ley y de las expresiones del Tribunal Supremo, la evaluación sobre la permisibilidad de extender los términos de juicio rápido se tiene que hacer evaluando los hechos de cada caso en particular y tomando en consideración los </w:t>
      </w:r>
      <w:r w:rsidR="00611057" w:rsidRPr="00971208">
        <w:rPr>
          <w:rFonts w:ascii="Arial" w:hAnsi="Arial" w:cs="Arial"/>
          <w:lang w:val="es-419"/>
        </w:rPr>
        <w:t xml:space="preserve">5 </w:t>
      </w:r>
      <w:r w:rsidRPr="00971208">
        <w:rPr>
          <w:rFonts w:ascii="Arial" w:hAnsi="Arial" w:cs="Arial"/>
          <w:lang w:val="es-419"/>
        </w:rPr>
        <w:t>factores mencionados. Es importante señalar específicamente el cuarto factor</w:t>
      </w:r>
      <w:r w:rsidR="00D5504B" w:rsidRPr="00971208">
        <w:rPr>
          <w:rFonts w:ascii="Arial" w:hAnsi="Arial" w:cs="Arial"/>
          <w:lang w:val="es-419"/>
        </w:rPr>
        <w:t>;</w:t>
      </w:r>
      <w:r w:rsidRPr="00971208">
        <w:rPr>
          <w:rFonts w:ascii="Arial" w:hAnsi="Arial" w:cs="Arial"/>
          <w:lang w:val="es-419"/>
        </w:rPr>
        <w:t xml:space="preserve"> si el Ministerio Público demostró justa causa para la demora. Este factor puede ser dif</w:t>
      </w:r>
      <w:r w:rsidR="0022324F" w:rsidRPr="00971208">
        <w:rPr>
          <w:rFonts w:ascii="Arial" w:hAnsi="Arial" w:cs="Arial"/>
          <w:lang w:val="es-419"/>
        </w:rPr>
        <w:t>i</w:t>
      </w:r>
      <w:r w:rsidRPr="00971208">
        <w:rPr>
          <w:rFonts w:ascii="Arial" w:hAnsi="Arial" w:cs="Arial"/>
          <w:lang w:val="es-419"/>
        </w:rPr>
        <w:t>cil de evaluar, ya que la ley no provee una guía o un proceso para determinar lo que constituye o no justa causa para la demora. Sin embargo, la jurisprudencia aquí puede ayudar a llenar esta laguna en términos de la discusión sobre las demoras causadas por complica</w:t>
      </w:r>
      <w:r w:rsidR="0022324F" w:rsidRPr="00971208">
        <w:rPr>
          <w:rFonts w:ascii="Arial" w:hAnsi="Arial" w:cs="Arial"/>
          <w:lang w:val="es-419"/>
        </w:rPr>
        <w:t>s</w:t>
      </w:r>
      <w:r w:rsidRPr="00971208">
        <w:rPr>
          <w:rFonts w:ascii="Arial" w:hAnsi="Arial" w:cs="Arial"/>
          <w:lang w:val="es-419"/>
        </w:rPr>
        <w:t xml:space="preserve">iones relacionadas al COVID-19. En Pueblo v. Tirado, el Tribunal trae a nuestra </w:t>
      </w:r>
      <w:r w:rsidRPr="00971208">
        <w:rPr>
          <w:rFonts w:ascii="Arial" w:hAnsi="Arial" w:cs="Arial"/>
          <w:lang w:val="es-419"/>
        </w:rPr>
        <w:lastRenderedPageBreak/>
        <w:t xml:space="preserve">jurisdicción el concepto de </w:t>
      </w:r>
      <w:r w:rsidRPr="00971208">
        <w:rPr>
          <w:rFonts w:ascii="Arial" w:hAnsi="Arial" w:cs="Arial"/>
          <w:b/>
          <w:bCs/>
          <w:lang w:val="es-419"/>
        </w:rPr>
        <w:t>tardanzas institucionales</w:t>
      </w:r>
      <w:r w:rsidRPr="00971208">
        <w:rPr>
          <w:rFonts w:ascii="Arial" w:hAnsi="Arial" w:cs="Arial"/>
          <w:lang w:val="es-419"/>
        </w:rPr>
        <w:t>. Este concepto se adopta de la jurisprudencia federal, en el cual se diferencia entre tardanzas institucionales, que son demoras no intencionales como calendarios recargados o insuficiencias del personal, con demoras intencionales dirigidas a entorpecer la defensa.</w:t>
      </w:r>
      <w:r w:rsidRPr="00971208">
        <w:rPr>
          <w:rStyle w:val="FootnoteReference"/>
          <w:rFonts w:ascii="Arial" w:hAnsi="Arial" w:cs="Arial"/>
        </w:rPr>
        <w:footnoteReference w:id="7"/>
      </w:r>
      <w:r w:rsidRPr="00971208">
        <w:rPr>
          <w:rFonts w:ascii="Arial" w:hAnsi="Arial" w:cs="Arial"/>
          <w:lang w:val="es-419"/>
        </w:rPr>
        <w:t xml:space="preserve"> Las tardan</w:t>
      </w:r>
      <w:r w:rsidR="004149EF" w:rsidRPr="00971208">
        <w:rPr>
          <w:rFonts w:ascii="Arial" w:hAnsi="Arial" w:cs="Arial"/>
          <w:lang w:val="es-419"/>
        </w:rPr>
        <w:t>s</w:t>
      </w:r>
      <w:r w:rsidRPr="00971208">
        <w:rPr>
          <w:rFonts w:ascii="Arial" w:hAnsi="Arial" w:cs="Arial"/>
          <w:lang w:val="es-419"/>
        </w:rPr>
        <w:t>as institucionales, aunque atribuibles al Estado y no al imputado, s</w:t>
      </w:r>
      <w:r w:rsidRPr="00971208">
        <w:rPr>
          <w:rFonts w:ascii="Arial" w:hAnsi="Arial" w:cs="Arial"/>
          <w:shd w:val="clear" w:color="auto" w:fill="FFFFFF"/>
          <w:lang w:val="es-419"/>
        </w:rPr>
        <w:t>erán evaluadas con menos rigurosidad que las intencionales.</w:t>
      </w:r>
      <w:r w:rsidRPr="00971208">
        <w:rPr>
          <w:rStyle w:val="FootnoteReference"/>
          <w:rFonts w:ascii="Arial" w:hAnsi="Arial" w:cs="Arial"/>
          <w:shd w:val="clear" w:color="auto" w:fill="FFFFFF"/>
        </w:rPr>
        <w:footnoteReference w:id="8"/>
      </w:r>
    </w:p>
    <w:p w14:paraId="6FCF75F3" w14:textId="1F55606B" w:rsidR="00423D86" w:rsidRPr="00971208" w:rsidRDefault="00423D86" w:rsidP="00423D86">
      <w:pPr>
        <w:spacing w:line="360" w:lineRule="auto"/>
        <w:ind w:firstLine="360"/>
        <w:jc w:val="both"/>
        <w:rPr>
          <w:rFonts w:ascii="Arial" w:hAnsi="Arial" w:cs="Arial"/>
          <w:lang w:val="es-419"/>
        </w:rPr>
      </w:pPr>
      <w:r w:rsidRPr="00971208">
        <w:rPr>
          <w:rFonts w:ascii="Arial" w:hAnsi="Arial" w:cs="Arial"/>
          <w:lang w:val="es-419"/>
        </w:rPr>
        <w:t xml:space="preserve">El que una tardanza institucional sea evaluada con menos rigurosidad que las intencionales, esto ciertamente no significa que constituyen un </w:t>
      </w:r>
      <w:r w:rsidRPr="00971208">
        <w:rPr>
          <w:rFonts w:ascii="Arial" w:hAnsi="Arial" w:cs="Arial"/>
          <w:i/>
          <w:iCs/>
          <w:lang w:val="es-419"/>
        </w:rPr>
        <w:t xml:space="preserve">carte blanche </w:t>
      </w:r>
      <w:r w:rsidRPr="00971208">
        <w:rPr>
          <w:rFonts w:ascii="Arial" w:hAnsi="Arial" w:cs="Arial"/>
          <w:lang w:val="es-419"/>
        </w:rPr>
        <w:t>para que el Estado aproveche estas oportunidades para ignorar los térmnos impuestos por ley. De hecho, el tribunal ha expresado específicamente que “la congestión del calendario del tribunal no constituye justa causa para la demora en la celebración de un juicio”.</w:t>
      </w:r>
      <w:r w:rsidRPr="00971208">
        <w:rPr>
          <w:rStyle w:val="FootnoteReference"/>
          <w:rFonts w:ascii="Arial" w:hAnsi="Arial" w:cs="Arial"/>
        </w:rPr>
        <w:footnoteReference w:id="9"/>
      </w:r>
      <w:r w:rsidRPr="00971208">
        <w:rPr>
          <w:rFonts w:ascii="Arial" w:hAnsi="Arial" w:cs="Arial"/>
          <w:lang w:val="es-419"/>
        </w:rPr>
        <w:t xml:space="preserve"> El Tribunal lo que establece es que si la dem</w:t>
      </w:r>
      <w:r w:rsidR="000A538B" w:rsidRPr="00971208">
        <w:rPr>
          <w:rFonts w:ascii="Arial" w:hAnsi="Arial" w:cs="Arial"/>
          <w:lang w:val="es-419"/>
        </w:rPr>
        <w:t>ó</w:t>
      </w:r>
      <w:r w:rsidRPr="00971208">
        <w:rPr>
          <w:rFonts w:ascii="Arial" w:hAnsi="Arial" w:cs="Arial"/>
          <w:lang w:val="es-419"/>
        </w:rPr>
        <w:t>ra es institucional y no tiene el propósito de perjudicar a la persona imputada, entonces “el motivo de una demora debe estar enmarcado dentro de los parámetros de razonabilidad”.</w:t>
      </w:r>
      <w:r w:rsidRPr="00971208">
        <w:rPr>
          <w:rStyle w:val="FootnoteReference"/>
          <w:rFonts w:ascii="Arial" w:hAnsi="Arial" w:cs="Arial"/>
        </w:rPr>
        <w:footnoteReference w:id="10"/>
      </w:r>
    </w:p>
    <w:p w14:paraId="7135BB2B" w14:textId="335CD35F" w:rsidR="00246862" w:rsidRPr="00971208" w:rsidRDefault="00385C58" w:rsidP="00957EA5">
      <w:pPr>
        <w:pStyle w:val="ListParagraph"/>
        <w:numPr>
          <w:ilvl w:val="0"/>
          <w:numId w:val="20"/>
        </w:numPr>
        <w:spacing w:line="360" w:lineRule="auto"/>
        <w:jc w:val="both"/>
        <w:rPr>
          <w:rFonts w:ascii="Arial" w:hAnsi="Arial" w:cs="Arial"/>
          <w:lang w:val="en-US"/>
        </w:rPr>
      </w:pPr>
      <w:r w:rsidRPr="00971208">
        <w:rPr>
          <w:rFonts w:ascii="Arial" w:hAnsi="Arial" w:cs="Arial"/>
          <w:lang w:val="en-US"/>
        </w:rPr>
        <w:t xml:space="preserve">United States v. Smith </w:t>
      </w:r>
      <w:r w:rsidR="00DC6B92" w:rsidRPr="00971208">
        <w:rPr>
          <w:rFonts w:ascii="Arial" w:hAnsi="Arial" w:cs="Arial"/>
          <w:lang w:val="en-US"/>
        </w:rPr>
        <w:t>&amp;</w:t>
      </w:r>
      <w:r w:rsidRPr="00971208">
        <w:rPr>
          <w:rFonts w:ascii="Arial" w:hAnsi="Arial" w:cs="Arial"/>
          <w:lang w:val="en-US"/>
        </w:rPr>
        <w:t xml:space="preserve"> Elms v. United States</w:t>
      </w:r>
    </w:p>
    <w:p w14:paraId="04ECCF63" w14:textId="2960AA36" w:rsidR="00423D86" w:rsidRPr="00971208" w:rsidRDefault="00423D86" w:rsidP="00423D86">
      <w:pPr>
        <w:spacing w:line="360" w:lineRule="auto"/>
        <w:ind w:firstLine="360"/>
        <w:jc w:val="both"/>
        <w:rPr>
          <w:rFonts w:ascii="Arial" w:hAnsi="Arial" w:cs="Arial"/>
          <w:lang w:val="es-419"/>
        </w:rPr>
      </w:pPr>
      <w:r w:rsidRPr="00971208">
        <w:rPr>
          <w:rFonts w:ascii="Arial" w:hAnsi="Arial" w:cs="Arial"/>
          <w:lang w:val="es-419"/>
        </w:rPr>
        <w:t>Ya habiendo discutido los factores y el criterio a utilizar por el tribunal al momento de evaluar una demora de parte del Estado, pasamos a una discusión de dos casos de dos jurisdicci</w:t>
      </w:r>
      <w:r w:rsidR="0066081F" w:rsidRPr="00971208">
        <w:rPr>
          <w:rFonts w:ascii="Arial" w:hAnsi="Arial" w:cs="Arial"/>
          <w:lang w:val="es-419"/>
        </w:rPr>
        <w:t>ó</w:t>
      </w:r>
      <w:r w:rsidRPr="00971208">
        <w:rPr>
          <w:rFonts w:ascii="Arial" w:hAnsi="Arial" w:cs="Arial"/>
          <w:lang w:val="es-419"/>
        </w:rPr>
        <w:t>nes distintas sobre demoras relacionadas al COVID-19. El propósito de esto es entender cómo se están categorizando este tipo de demoras, institucionales o intencionales, y tener una mejor comprensión de cuán razonable encuentran estos tribunales las justificaciones presentadas por el Estado. Aunque en las jurisdicciones estatales y federales que estaremos discutiendo el derecho a juicio rápido tiene una base distinta al mismo derecho en Puerto Rico, aquí siendo un derecho constitucional mientras que en los estados que estaremos discutiendo es de nivel estatutario, las decisiones siguen siendo de ayuda para tener una idea de cómo se están manejando las justificaciones del Estado.</w:t>
      </w:r>
    </w:p>
    <w:p w14:paraId="0BDCAFDB" w14:textId="3A668987" w:rsidR="00423D86" w:rsidRPr="00971208" w:rsidRDefault="00423D86" w:rsidP="00423D86">
      <w:pPr>
        <w:spacing w:line="360" w:lineRule="auto"/>
        <w:ind w:firstLine="360"/>
        <w:jc w:val="both"/>
        <w:rPr>
          <w:rFonts w:ascii="Arial" w:hAnsi="Arial" w:cs="Arial"/>
          <w:lang w:val="es-419"/>
        </w:rPr>
      </w:pPr>
      <w:r w:rsidRPr="00971208">
        <w:rPr>
          <w:rFonts w:ascii="Arial" w:hAnsi="Arial" w:cs="Arial"/>
          <w:lang w:val="es-419"/>
        </w:rPr>
        <w:lastRenderedPageBreak/>
        <w:t>Primero nos encontramos con el caso de United States v. Smith.</w:t>
      </w:r>
      <w:r w:rsidRPr="00971208">
        <w:rPr>
          <w:rStyle w:val="FootnoteReference"/>
          <w:rFonts w:ascii="Arial" w:hAnsi="Arial" w:cs="Arial"/>
        </w:rPr>
        <w:footnoteReference w:id="11"/>
      </w:r>
      <w:r w:rsidRPr="00971208">
        <w:rPr>
          <w:rFonts w:ascii="Arial" w:hAnsi="Arial" w:cs="Arial"/>
          <w:lang w:val="es-419"/>
        </w:rPr>
        <w:t xml:space="preserve"> En este caso el tribunal validó una extensión de los términos de juicio rápido establecidos en el “Speedy Trial Act”, debido a que cumplían con la excepción de “end</w:t>
      </w:r>
      <w:r w:rsidR="00105A3E" w:rsidRPr="00971208">
        <w:rPr>
          <w:rFonts w:ascii="Arial" w:hAnsi="Arial" w:cs="Arial"/>
          <w:lang w:val="es-419"/>
        </w:rPr>
        <w:t xml:space="preserve"> </w:t>
      </w:r>
      <w:r w:rsidRPr="00971208">
        <w:rPr>
          <w:rFonts w:ascii="Arial" w:hAnsi="Arial" w:cs="Arial"/>
          <w:lang w:val="es-419"/>
        </w:rPr>
        <w:t>of</w:t>
      </w:r>
      <w:r w:rsidR="00105A3E" w:rsidRPr="00971208">
        <w:rPr>
          <w:rFonts w:ascii="Arial" w:hAnsi="Arial" w:cs="Arial"/>
          <w:lang w:val="es-419"/>
        </w:rPr>
        <w:t xml:space="preserve"> </w:t>
      </w:r>
      <w:r w:rsidRPr="00971208">
        <w:rPr>
          <w:rFonts w:ascii="Arial" w:hAnsi="Arial" w:cs="Arial"/>
          <w:lang w:val="es-419"/>
        </w:rPr>
        <w:t>justice”. Es de valor notar que el Tribunal hace énfasis en que el análisis de razonabilidad se tiene que hacer caso a caso, igual que en Puerto Rico. Además, presenta una lista de los factores que se deben de mantener en mente al momento de balancear el derecho a juicio rápido con la preocupación legítima del Estado de sal</w:t>
      </w:r>
      <w:r w:rsidR="00105A3E" w:rsidRPr="00971208">
        <w:rPr>
          <w:rFonts w:ascii="Arial" w:hAnsi="Arial" w:cs="Arial"/>
          <w:lang w:val="es-419"/>
        </w:rPr>
        <w:t>b</w:t>
      </w:r>
      <w:r w:rsidRPr="00971208">
        <w:rPr>
          <w:rFonts w:ascii="Arial" w:hAnsi="Arial" w:cs="Arial"/>
          <w:lang w:val="es-419"/>
        </w:rPr>
        <w:t xml:space="preserve">aguardar la salud pública: si el acusado se encuentra detenido por el Estado, si hay un brote de COVID-19 en la institución que el acusado se encuentra, si el acusado actualmente se encuentra dentro de una población particularmente susceptible al COVID-19, si el tribunal está preparado para celebrar un juicio por jurado de manera segura, </w:t>
      </w:r>
      <w:r w:rsidR="00F6737E" w:rsidRPr="00971208">
        <w:rPr>
          <w:rFonts w:ascii="Arial" w:hAnsi="Arial" w:cs="Arial"/>
          <w:lang w:val="es-419"/>
        </w:rPr>
        <w:t>cu</w:t>
      </w:r>
      <w:r w:rsidR="00B74AFC" w:rsidRPr="00971208">
        <w:rPr>
          <w:rFonts w:ascii="Arial" w:hAnsi="Arial" w:cs="Arial"/>
          <w:lang w:val="es-419"/>
        </w:rPr>
        <w:t>a</w:t>
      </w:r>
      <w:r w:rsidR="00F6737E" w:rsidRPr="00971208">
        <w:rPr>
          <w:rFonts w:ascii="Arial" w:hAnsi="Arial" w:cs="Arial"/>
          <w:lang w:val="es-419"/>
        </w:rPr>
        <w:t>nto</w:t>
      </w:r>
      <w:r w:rsidRPr="00971208">
        <w:rPr>
          <w:rFonts w:ascii="Arial" w:hAnsi="Arial" w:cs="Arial"/>
          <w:lang w:val="es-419"/>
        </w:rPr>
        <w:t xml:space="preserve"> tiempo lleva el acusado detenido, entre otros. Sin embargo, luego de enumerar estos factores y de enfatizar que no toma el derecho al juicio rápido de manera ligera, el Tribunal entiende que un análisis de esos factores en el caso en particular justificaba la demora.</w:t>
      </w:r>
    </w:p>
    <w:p w14:paraId="2C532273" w14:textId="49F3F843" w:rsidR="00423D86" w:rsidRPr="00E60563" w:rsidRDefault="00423D86" w:rsidP="00833709">
      <w:pPr>
        <w:spacing w:line="480" w:lineRule="auto"/>
        <w:ind w:firstLine="360"/>
        <w:jc w:val="both"/>
        <w:rPr>
          <w:rFonts w:ascii="Arial" w:hAnsi="Arial" w:cs="Arial"/>
          <w:b/>
          <w:bCs/>
          <w:lang w:val="es-419"/>
        </w:rPr>
      </w:pPr>
      <w:r w:rsidRPr="00971208">
        <w:rPr>
          <w:rFonts w:ascii="Arial" w:hAnsi="Arial" w:cs="Arial"/>
          <w:lang w:val="es-419"/>
        </w:rPr>
        <w:t>En Elms v. United States, el Tribunal determina que el Estado no cumplió con el requisito de justificar la demora de manera específica en este caso. El Estado se limitó a establecer que tendría problemas preparándose para la vista preliminar debido a limitaciones inherentes al trabajo a distancia y que se dificulta la revisión de documentos y evidencia.</w:t>
      </w:r>
      <w:r w:rsidRPr="00971208">
        <w:rPr>
          <w:rStyle w:val="FootnoteReference"/>
          <w:rFonts w:ascii="Arial" w:hAnsi="Arial" w:cs="Arial"/>
        </w:rPr>
        <w:footnoteReference w:id="12"/>
      </w:r>
      <w:r w:rsidRPr="00971208">
        <w:rPr>
          <w:rFonts w:ascii="Arial" w:hAnsi="Arial" w:cs="Arial"/>
          <w:lang w:val="es-419"/>
        </w:rPr>
        <w:t xml:space="preserve"> Sin embargo, el Tribunal entendió que el Estado no proveyó ninguna razón específica al caso particular para justi</w:t>
      </w:r>
      <w:r w:rsidR="008636AD" w:rsidRPr="00971208">
        <w:rPr>
          <w:rFonts w:ascii="Arial" w:hAnsi="Arial" w:cs="Arial"/>
          <w:lang w:val="es-419"/>
        </w:rPr>
        <w:t>i</w:t>
      </w:r>
      <w:r w:rsidRPr="00971208">
        <w:rPr>
          <w:rFonts w:ascii="Arial" w:hAnsi="Arial" w:cs="Arial"/>
          <w:lang w:val="es-419"/>
        </w:rPr>
        <w:t>ficar la demora. A</w:t>
      </w:r>
      <w:r w:rsidR="00B239FD" w:rsidRPr="00971208">
        <w:rPr>
          <w:rFonts w:ascii="Arial" w:hAnsi="Arial" w:cs="Arial"/>
          <w:lang w:val="es-419"/>
        </w:rPr>
        <w:t>n</w:t>
      </w:r>
      <w:r w:rsidRPr="00971208">
        <w:rPr>
          <w:rFonts w:ascii="Arial" w:hAnsi="Arial" w:cs="Arial"/>
          <w:lang w:val="es-419"/>
        </w:rPr>
        <w:t xml:space="preserve">ade que el Estado debió haber presentado prueba sobre alguna persona o documento específico, por qué se dificultaba la obtención de dicho documento o la asistencia de dicha persona o apuntar a qué evidencia en particular se le imposibilitaba obtener por razón del trabajo a distancia y las condiciones creadas por el COVID-19. Es decir, el Tribunal entendió que no era suficiente </w:t>
      </w:r>
      <w:r w:rsidRPr="00971208">
        <w:rPr>
          <w:rFonts w:ascii="Arial" w:hAnsi="Arial" w:cs="Arial"/>
          <w:lang w:val="es-419"/>
        </w:rPr>
        <w:lastRenderedPageBreak/>
        <w:t xml:space="preserve">una </w:t>
      </w:r>
      <w:r w:rsidR="002E30FF" w:rsidRPr="00971208">
        <w:rPr>
          <w:rFonts w:ascii="Arial" w:hAnsi="Arial" w:cs="Arial"/>
          <w:lang w:val="es-419"/>
        </w:rPr>
        <w:t>alegación</w:t>
      </w:r>
      <w:r w:rsidRPr="00971208">
        <w:rPr>
          <w:rFonts w:ascii="Arial" w:hAnsi="Arial" w:cs="Arial"/>
          <w:lang w:val="es-419"/>
        </w:rPr>
        <w:t xml:space="preserve"> </w:t>
      </w:r>
      <w:r w:rsidR="00941E71" w:rsidRPr="00971208">
        <w:rPr>
          <w:rFonts w:ascii="Arial" w:hAnsi="Arial" w:cs="Arial"/>
          <w:lang w:val="es-419"/>
        </w:rPr>
        <w:t>general,</w:t>
      </w:r>
      <w:r w:rsidRPr="00971208">
        <w:rPr>
          <w:rFonts w:ascii="Arial" w:hAnsi="Arial" w:cs="Arial"/>
          <w:lang w:val="es-419"/>
        </w:rPr>
        <w:t xml:space="preserve"> sino que el Estado tiene que probar que el COVID-19 obstaculizó el caso en particular en el cual se busca extender los términos.</w:t>
      </w:r>
    </w:p>
    <w:p w14:paraId="0C69FBD4" w14:textId="54956EAA" w:rsidR="00F345F2" w:rsidRPr="00E60563" w:rsidRDefault="00F345F2" w:rsidP="00A26B70">
      <w:pPr>
        <w:spacing w:line="480" w:lineRule="auto"/>
        <w:rPr>
          <w:rFonts w:ascii="Arial" w:hAnsi="Arial" w:cs="Arial"/>
          <w:lang w:val="es-ES"/>
        </w:rPr>
      </w:pPr>
    </w:p>
    <w:p w14:paraId="51C55E2E" w14:textId="7F215CF3" w:rsidR="00FF33DB" w:rsidRPr="00E60563" w:rsidRDefault="00FF33DB" w:rsidP="00A26B70">
      <w:pPr>
        <w:spacing w:line="480" w:lineRule="auto"/>
        <w:rPr>
          <w:rFonts w:ascii="Arial" w:hAnsi="Arial" w:cs="Arial"/>
          <w:lang w:val="es-ES"/>
        </w:rPr>
      </w:pPr>
    </w:p>
    <w:sectPr w:rsidR="00FF33DB" w:rsidRPr="00E605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44547" w14:textId="77777777" w:rsidR="00BE2F5D" w:rsidRDefault="00BE2F5D" w:rsidP="00965D23">
      <w:r>
        <w:separator/>
      </w:r>
    </w:p>
  </w:endnote>
  <w:endnote w:type="continuationSeparator" w:id="0">
    <w:p w14:paraId="23657574" w14:textId="77777777" w:rsidR="00BE2F5D" w:rsidRDefault="00BE2F5D" w:rsidP="0096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6250C" w14:textId="77777777" w:rsidR="00BE2F5D" w:rsidRDefault="00BE2F5D" w:rsidP="00965D23">
      <w:r>
        <w:separator/>
      </w:r>
    </w:p>
  </w:footnote>
  <w:footnote w:type="continuationSeparator" w:id="0">
    <w:p w14:paraId="6C527E51" w14:textId="77777777" w:rsidR="00BE2F5D" w:rsidRDefault="00BE2F5D" w:rsidP="00965D23">
      <w:r>
        <w:continuationSeparator/>
      </w:r>
    </w:p>
  </w:footnote>
  <w:footnote w:id="1">
    <w:p w14:paraId="0C5D70F8" w14:textId="20FD255E" w:rsidR="00423D86" w:rsidRPr="00971208" w:rsidRDefault="00423D86" w:rsidP="00423D86">
      <w:pPr>
        <w:pStyle w:val="FootnoteText"/>
        <w:rPr>
          <w:rFonts w:ascii="Arial" w:hAnsi="Arial" w:cs="Arial"/>
          <w:lang w:val="en-US"/>
        </w:rPr>
      </w:pPr>
      <w:r w:rsidRPr="00971208">
        <w:rPr>
          <w:rStyle w:val="FootnoteReference"/>
          <w:rFonts w:ascii="Arial" w:hAnsi="Arial" w:cs="Arial"/>
        </w:rPr>
        <w:footnoteRef/>
      </w:r>
      <w:r w:rsidRPr="00971208">
        <w:rPr>
          <w:rFonts w:ascii="Arial" w:hAnsi="Arial" w:cs="Arial"/>
          <w:lang w:val="en-US"/>
        </w:rPr>
        <w:t xml:space="preserve"> CONST. PR art II, </w:t>
      </w:r>
      <w:r w:rsidRPr="00971208">
        <w:rPr>
          <w:rFonts w:ascii="Arial" w:hAnsi="Arial" w:cs="Arial"/>
          <w:color w:val="3B3B3B"/>
          <w:shd w:val="clear" w:color="auto" w:fill="FFFFFF"/>
          <w:lang w:val="en-US"/>
        </w:rPr>
        <w:t>§</w:t>
      </w:r>
      <w:r w:rsidRPr="00971208">
        <w:rPr>
          <w:rFonts w:ascii="Arial" w:hAnsi="Arial" w:cs="Arial"/>
          <w:lang w:val="en-US"/>
        </w:rPr>
        <w:t xml:space="preserve"> 11 </w:t>
      </w:r>
      <w:proofErr w:type="spellStart"/>
      <w:r w:rsidRPr="00971208">
        <w:rPr>
          <w:rFonts w:ascii="Arial" w:hAnsi="Arial" w:cs="Arial"/>
          <w:lang w:val="en-US"/>
        </w:rPr>
        <w:t>énfasis</w:t>
      </w:r>
      <w:proofErr w:type="spellEnd"/>
      <w:r w:rsidRPr="00971208">
        <w:rPr>
          <w:rFonts w:ascii="Arial" w:hAnsi="Arial" w:cs="Arial"/>
          <w:lang w:val="en-US"/>
        </w:rPr>
        <w:t xml:space="preserve"> </w:t>
      </w:r>
      <w:proofErr w:type="spellStart"/>
      <w:r w:rsidRPr="00971208">
        <w:rPr>
          <w:rFonts w:ascii="Arial" w:hAnsi="Arial" w:cs="Arial"/>
          <w:lang w:val="en-US"/>
        </w:rPr>
        <w:t>suplido</w:t>
      </w:r>
      <w:proofErr w:type="spellEnd"/>
      <w:r w:rsidRPr="00971208">
        <w:rPr>
          <w:rFonts w:ascii="Arial" w:hAnsi="Arial" w:cs="Arial"/>
          <w:lang w:val="en-US"/>
        </w:rPr>
        <w:t xml:space="preserve">. </w:t>
      </w:r>
    </w:p>
  </w:footnote>
  <w:footnote w:id="2">
    <w:p w14:paraId="77C38FBD" w14:textId="03B8D394" w:rsidR="00423D86" w:rsidRPr="00971208" w:rsidRDefault="00423D86" w:rsidP="00423D86">
      <w:pPr>
        <w:pStyle w:val="FootnoteText"/>
        <w:rPr>
          <w:rFonts w:ascii="Arial" w:hAnsi="Arial" w:cs="Arial"/>
          <w:lang w:val="es-419"/>
        </w:rPr>
      </w:pPr>
      <w:r w:rsidRPr="00971208">
        <w:rPr>
          <w:rStyle w:val="FootnoteReference"/>
          <w:rFonts w:ascii="Arial" w:hAnsi="Arial" w:cs="Arial"/>
        </w:rPr>
        <w:footnoteRef/>
      </w:r>
      <w:r w:rsidRPr="00971208">
        <w:rPr>
          <w:rFonts w:ascii="Arial" w:hAnsi="Arial" w:cs="Arial"/>
        </w:rPr>
        <w:t xml:space="preserve"> </w:t>
      </w:r>
      <w:r w:rsidRPr="00971208">
        <w:rPr>
          <w:rStyle w:val="Emphasis"/>
          <w:rFonts w:ascii="Arial" w:hAnsi="Arial" w:cs="Arial"/>
          <w:i w:val="0"/>
          <w:iCs w:val="0"/>
          <w:bdr w:val="none" w:sz="0" w:space="0" w:color="auto" w:frame="1"/>
          <w:shd w:val="clear" w:color="auto" w:fill="FFFFFF"/>
        </w:rPr>
        <w:t>Pueblo v. Valdés</w:t>
      </w:r>
      <w:r w:rsidRPr="00971208">
        <w:rPr>
          <w:rStyle w:val="Emphasis"/>
          <w:rFonts w:ascii="Arial" w:hAnsi="Arial" w:cs="Arial"/>
          <w:bdr w:val="none" w:sz="0" w:space="0" w:color="auto" w:frame="1"/>
          <w:shd w:val="clear" w:color="auto" w:fill="FFFFFF"/>
        </w:rPr>
        <w:t xml:space="preserve">, </w:t>
      </w:r>
      <w:r w:rsidRPr="00971208">
        <w:rPr>
          <w:rFonts w:ascii="Arial" w:hAnsi="Arial" w:cs="Arial"/>
          <w:color w:val="3D3D3D"/>
          <w:shd w:val="clear" w:color="auto" w:fill="FFFFFF"/>
        </w:rPr>
        <w:t>155 D</w:t>
      </w:r>
      <w:r w:rsidR="00B054A4" w:rsidRPr="00971208">
        <w:rPr>
          <w:rFonts w:ascii="Arial" w:hAnsi="Arial" w:cs="Arial"/>
          <w:color w:val="3D3D3D"/>
          <w:shd w:val="clear" w:color="auto" w:fill="FFFFFF"/>
        </w:rPr>
        <w:t>.</w:t>
      </w:r>
      <w:r w:rsidRPr="00971208">
        <w:rPr>
          <w:rFonts w:ascii="Arial" w:hAnsi="Arial" w:cs="Arial"/>
          <w:color w:val="3D3D3D"/>
          <w:shd w:val="clear" w:color="auto" w:fill="FFFFFF"/>
        </w:rPr>
        <w:t>P</w:t>
      </w:r>
      <w:r w:rsidR="00B054A4" w:rsidRPr="00971208">
        <w:rPr>
          <w:rFonts w:ascii="Arial" w:hAnsi="Arial" w:cs="Arial"/>
          <w:color w:val="3D3D3D"/>
          <w:shd w:val="clear" w:color="auto" w:fill="FFFFFF"/>
        </w:rPr>
        <w:t>.</w:t>
      </w:r>
      <w:r w:rsidRPr="00971208">
        <w:rPr>
          <w:rFonts w:ascii="Arial" w:hAnsi="Arial" w:cs="Arial"/>
          <w:color w:val="3D3D3D"/>
          <w:shd w:val="clear" w:color="auto" w:fill="FFFFFF"/>
        </w:rPr>
        <w:t>R</w:t>
      </w:r>
      <w:r w:rsidR="00B054A4" w:rsidRPr="00971208">
        <w:rPr>
          <w:rFonts w:ascii="Arial" w:hAnsi="Arial" w:cs="Arial"/>
          <w:color w:val="3D3D3D"/>
          <w:shd w:val="clear" w:color="auto" w:fill="FFFFFF"/>
        </w:rPr>
        <w:t>.</w:t>
      </w:r>
      <w:r w:rsidRPr="00971208">
        <w:rPr>
          <w:rFonts w:ascii="Arial" w:hAnsi="Arial" w:cs="Arial"/>
          <w:color w:val="3D3D3D"/>
          <w:shd w:val="clear" w:color="auto" w:fill="FFFFFF"/>
        </w:rPr>
        <w:t xml:space="preserve"> 781, 792 (2001).</w:t>
      </w:r>
    </w:p>
  </w:footnote>
  <w:footnote w:id="3">
    <w:p w14:paraId="246E47F6" w14:textId="2A8F3CE0" w:rsidR="00423D86" w:rsidRPr="00971208" w:rsidRDefault="00423D86" w:rsidP="00423D86">
      <w:pPr>
        <w:pStyle w:val="FootnoteText"/>
        <w:rPr>
          <w:rFonts w:ascii="Arial" w:hAnsi="Arial" w:cs="Arial"/>
          <w:lang w:val="es-419"/>
        </w:rPr>
      </w:pPr>
      <w:r w:rsidRPr="00971208">
        <w:rPr>
          <w:rStyle w:val="FootnoteReference"/>
          <w:rFonts w:ascii="Arial" w:hAnsi="Arial" w:cs="Arial"/>
        </w:rPr>
        <w:footnoteRef/>
      </w:r>
      <w:r w:rsidRPr="00971208">
        <w:rPr>
          <w:rFonts w:ascii="Arial" w:hAnsi="Arial" w:cs="Arial"/>
        </w:rPr>
        <w:t xml:space="preserve"> </w:t>
      </w:r>
      <w:r w:rsidRPr="00971208">
        <w:rPr>
          <w:rFonts w:ascii="Arial" w:hAnsi="Arial" w:cs="Arial"/>
          <w:i/>
          <w:iCs/>
          <w:lang w:val="es-419"/>
        </w:rPr>
        <w:t>Pueblo v Gzmán</w:t>
      </w:r>
      <w:r w:rsidRPr="00971208">
        <w:rPr>
          <w:rFonts w:ascii="Arial" w:hAnsi="Arial" w:cs="Arial"/>
          <w:lang w:val="es-419"/>
        </w:rPr>
        <w:t>, 161 D</w:t>
      </w:r>
      <w:r w:rsidR="00B054A4" w:rsidRPr="00971208">
        <w:rPr>
          <w:rFonts w:ascii="Arial" w:hAnsi="Arial" w:cs="Arial"/>
          <w:lang w:val="es-419"/>
        </w:rPr>
        <w:t>.</w:t>
      </w:r>
      <w:r w:rsidRPr="00971208">
        <w:rPr>
          <w:rFonts w:ascii="Arial" w:hAnsi="Arial" w:cs="Arial"/>
          <w:lang w:val="es-419"/>
        </w:rPr>
        <w:t>P</w:t>
      </w:r>
      <w:r w:rsidR="00B054A4" w:rsidRPr="00971208">
        <w:rPr>
          <w:rFonts w:ascii="Arial" w:hAnsi="Arial" w:cs="Arial"/>
          <w:lang w:val="es-419"/>
        </w:rPr>
        <w:t>.</w:t>
      </w:r>
      <w:r w:rsidRPr="00971208">
        <w:rPr>
          <w:rFonts w:ascii="Arial" w:hAnsi="Arial" w:cs="Arial"/>
          <w:lang w:val="es-419"/>
        </w:rPr>
        <w:t>R</w:t>
      </w:r>
      <w:r w:rsidR="00B054A4" w:rsidRPr="00971208">
        <w:rPr>
          <w:rFonts w:ascii="Arial" w:hAnsi="Arial" w:cs="Arial"/>
          <w:lang w:val="es-419"/>
        </w:rPr>
        <w:t>.</w:t>
      </w:r>
      <w:r w:rsidRPr="00971208">
        <w:rPr>
          <w:rFonts w:ascii="Arial" w:hAnsi="Arial" w:cs="Arial"/>
          <w:lang w:val="es-419"/>
        </w:rPr>
        <w:t xml:space="preserve"> 137, 152 (2004).</w:t>
      </w:r>
    </w:p>
  </w:footnote>
  <w:footnote w:id="4">
    <w:p w14:paraId="35CB7D69" w14:textId="541F19EB" w:rsidR="00423D86" w:rsidRPr="00A40174" w:rsidRDefault="00423D86" w:rsidP="00423D86">
      <w:pPr>
        <w:pStyle w:val="FootnoteText"/>
        <w:rPr>
          <w:rFonts w:ascii="Arial" w:hAnsi="Arial" w:cs="Arial"/>
          <w:lang w:val="es-419"/>
        </w:rPr>
      </w:pPr>
      <w:r w:rsidRPr="00971208">
        <w:rPr>
          <w:rStyle w:val="FootnoteReference"/>
          <w:rFonts w:ascii="Arial" w:hAnsi="Arial" w:cs="Arial"/>
        </w:rPr>
        <w:footnoteRef/>
      </w:r>
      <w:r w:rsidRPr="00971208">
        <w:rPr>
          <w:rFonts w:ascii="Arial" w:hAnsi="Arial" w:cs="Arial"/>
        </w:rPr>
        <w:t xml:space="preserve"> </w:t>
      </w:r>
      <w:r w:rsidRPr="00971208">
        <w:rPr>
          <w:rFonts w:ascii="Arial" w:hAnsi="Arial" w:cs="Arial"/>
          <w:lang w:val="es-419"/>
        </w:rPr>
        <w:t>Id.</w:t>
      </w:r>
      <w:r w:rsidRPr="00971208">
        <w:rPr>
          <w:rFonts w:ascii="Arial" w:hAnsi="Arial" w:cs="Arial"/>
          <w:i/>
          <w:iCs/>
          <w:lang w:val="es-419"/>
        </w:rPr>
        <w:t xml:space="preserve"> </w:t>
      </w:r>
      <w:r w:rsidRPr="00971208">
        <w:rPr>
          <w:rFonts w:ascii="Arial" w:hAnsi="Arial" w:cs="Arial"/>
          <w:lang w:val="es-419"/>
        </w:rPr>
        <w:t>en la pág</w:t>
      </w:r>
      <w:r w:rsidR="006B207B" w:rsidRPr="00971208">
        <w:rPr>
          <w:rFonts w:ascii="Arial" w:hAnsi="Arial" w:cs="Arial"/>
          <w:lang w:val="es-419"/>
        </w:rPr>
        <w:t>ina</w:t>
      </w:r>
      <w:r w:rsidRPr="00971208">
        <w:rPr>
          <w:rFonts w:ascii="Arial" w:hAnsi="Arial" w:cs="Arial"/>
          <w:lang w:val="es-419"/>
        </w:rPr>
        <w:t xml:space="preserve"> 153.</w:t>
      </w:r>
    </w:p>
  </w:footnote>
  <w:footnote w:id="5">
    <w:p w14:paraId="5A970534" w14:textId="77777777" w:rsidR="00423D86" w:rsidRPr="00971208" w:rsidRDefault="00423D86" w:rsidP="00423D86">
      <w:pPr>
        <w:pStyle w:val="FootnoteText"/>
        <w:rPr>
          <w:rFonts w:ascii="Arial" w:hAnsi="Arial" w:cs="Arial"/>
          <w:lang w:val="en-US"/>
        </w:rPr>
      </w:pPr>
      <w:r w:rsidRPr="00971208">
        <w:rPr>
          <w:rStyle w:val="FootnoteReference"/>
          <w:rFonts w:ascii="Arial" w:hAnsi="Arial" w:cs="Arial"/>
        </w:rPr>
        <w:footnoteRef/>
      </w:r>
      <w:r w:rsidRPr="00971208">
        <w:rPr>
          <w:rFonts w:ascii="Arial" w:hAnsi="Arial" w:cs="Arial"/>
        </w:rPr>
        <w:t xml:space="preserve"> 34 L.P.R.A. Ap. </w:t>
      </w:r>
      <w:r w:rsidRPr="00971208">
        <w:rPr>
          <w:rFonts w:ascii="Arial" w:hAnsi="Arial" w:cs="Arial"/>
          <w:lang w:val="en-US"/>
        </w:rPr>
        <w:t>II (</w:t>
      </w:r>
      <w:proofErr w:type="spellStart"/>
      <w:r w:rsidRPr="00971208">
        <w:rPr>
          <w:rFonts w:ascii="Arial" w:hAnsi="Arial" w:cs="Arial"/>
          <w:lang w:val="en-US"/>
        </w:rPr>
        <w:t>énfasis</w:t>
      </w:r>
      <w:proofErr w:type="spellEnd"/>
      <w:r w:rsidRPr="00971208">
        <w:rPr>
          <w:rFonts w:ascii="Arial" w:hAnsi="Arial" w:cs="Arial"/>
          <w:lang w:val="en-US"/>
        </w:rPr>
        <w:t xml:space="preserve"> </w:t>
      </w:r>
      <w:proofErr w:type="spellStart"/>
      <w:r w:rsidRPr="00971208">
        <w:rPr>
          <w:rFonts w:ascii="Arial" w:hAnsi="Arial" w:cs="Arial"/>
          <w:lang w:val="en-US"/>
        </w:rPr>
        <w:t>suplido</w:t>
      </w:r>
      <w:proofErr w:type="spellEnd"/>
      <w:r w:rsidRPr="00971208">
        <w:rPr>
          <w:rFonts w:ascii="Arial" w:hAnsi="Arial" w:cs="Arial"/>
          <w:lang w:val="en-US"/>
        </w:rPr>
        <w:t>).</w:t>
      </w:r>
    </w:p>
  </w:footnote>
  <w:footnote w:id="6">
    <w:p w14:paraId="6EAF707B" w14:textId="77777777" w:rsidR="00423D86" w:rsidRPr="00A40174" w:rsidRDefault="00423D86" w:rsidP="00423D86">
      <w:pPr>
        <w:pStyle w:val="FootnoteText"/>
        <w:rPr>
          <w:rFonts w:ascii="Arial" w:hAnsi="Arial" w:cs="Arial"/>
          <w:lang w:val="en-US"/>
        </w:rPr>
      </w:pPr>
      <w:r w:rsidRPr="00971208">
        <w:rPr>
          <w:rStyle w:val="FootnoteReference"/>
          <w:rFonts w:ascii="Arial" w:hAnsi="Arial" w:cs="Arial"/>
        </w:rPr>
        <w:footnoteRef/>
      </w:r>
      <w:r w:rsidRPr="00971208">
        <w:rPr>
          <w:rFonts w:ascii="Arial" w:hAnsi="Arial" w:cs="Arial"/>
          <w:lang w:val="en-US"/>
        </w:rPr>
        <w:t xml:space="preserve"> Id.</w:t>
      </w:r>
    </w:p>
  </w:footnote>
  <w:footnote w:id="7">
    <w:p w14:paraId="5B7B21A8" w14:textId="48321D38" w:rsidR="00423D86" w:rsidRPr="00971208" w:rsidRDefault="00423D86" w:rsidP="00423D86">
      <w:pPr>
        <w:pStyle w:val="FootnoteText"/>
        <w:rPr>
          <w:rFonts w:ascii="Arial" w:hAnsi="Arial" w:cs="Arial"/>
          <w:lang w:val="en-US"/>
        </w:rPr>
      </w:pPr>
      <w:r w:rsidRPr="00971208">
        <w:rPr>
          <w:rStyle w:val="FootnoteReference"/>
          <w:rFonts w:ascii="Arial" w:hAnsi="Arial" w:cs="Arial"/>
        </w:rPr>
        <w:footnoteRef/>
      </w:r>
      <w:r w:rsidRPr="00971208">
        <w:rPr>
          <w:rFonts w:ascii="Arial" w:hAnsi="Arial" w:cs="Arial"/>
          <w:lang w:val="en-US"/>
        </w:rPr>
        <w:t xml:space="preserve"> Strunk v. United States, 41</w:t>
      </w:r>
      <w:r w:rsidR="00D73EA3" w:rsidRPr="00971208">
        <w:rPr>
          <w:rFonts w:ascii="Arial" w:hAnsi="Arial" w:cs="Arial"/>
          <w:lang w:val="en-US"/>
        </w:rPr>
        <w:t>0</w:t>
      </w:r>
      <w:r w:rsidRPr="00971208">
        <w:rPr>
          <w:rFonts w:ascii="Arial" w:hAnsi="Arial" w:cs="Arial"/>
          <w:lang w:val="en-US"/>
        </w:rPr>
        <w:t xml:space="preserve"> US 434, 436 (1973).</w:t>
      </w:r>
    </w:p>
  </w:footnote>
  <w:footnote w:id="8">
    <w:p w14:paraId="1DC7175B" w14:textId="4597C6CF" w:rsidR="00423D86" w:rsidRPr="00971208" w:rsidRDefault="00423D86" w:rsidP="00423D86">
      <w:pPr>
        <w:pStyle w:val="FootnoteText"/>
        <w:rPr>
          <w:rFonts w:ascii="Arial" w:hAnsi="Arial" w:cs="Arial"/>
          <w:lang w:val="es-419"/>
        </w:rPr>
      </w:pPr>
      <w:r w:rsidRPr="00971208">
        <w:rPr>
          <w:rStyle w:val="FootnoteReference"/>
          <w:rFonts w:ascii="Arial" w:hAnsi="Arial" w:cs="Arial"/>
        </w:rPr>
        <w:footnoteRef/>
      </w:r>
      <w:r w:rsidRPr="00971208">
        <w:rPr>
          <w:rFonts w:ascii="Arial" w:hAnsi="Arial" w:cs="Arial"/>
        </w:rPr>
        <w:t xml:space="preserve"> Pueblo v. Candelaria, 148 DPR 591, 59</w:t>
      </w:r>
      <w:r w:rsidR="00D73EA3" w:rsidRPr="00971208">
        <w:rPr>
          <w:rFonts w:ascii="Arial" w:hAnsi="Arial" w:cs="Arial"/>
        </w:rPr>
        <w:t>0</w:t>
      </w:r>
      <w:r w:rsidRPr="00971208">
        <w:rPr>
          <w:rFonts w:ascii="Arial" w:hAnsi="Arial" w:cs="Arial"/>
        </w:rPr>
        <w:t xml:space="preserve"> (1999).</w:t>
      </w:r>
    </w:p>
  </w:footnote>
  <w:footnote w:id="9">
    <w:p w14:paraId="79D7B20E" w14:textId="227D65C7" w:rsidR="00423D86" w:rsidRPr="00971208" w:rsidRDefault="00423D86" w:rsidP="00423D86">
      <w:pPr>
        <w:pStyle w:val="FootnoteText"/>
        <w:rPr>
          <w:rFonts w:ascii="Arial" w:hAnsi="Arial" w:cs="Arial"/>
          <w:lang w:val="es-419"/>
        </w:rPr>
      </w:pPr>
      <w:r w:rsidRPr="00971208">
        <w:rPr>
          <w:rStyle w:val="FootnoteReference"/>
          <w:rFonts w:ascii="Arial" w:hAnsi="Arial" w:cs="Arial"/>
        </w:rPr>
        <w:footnoteRef/>
      </w:r>
      <w:r w:rsidRPr="00971208">
        <w:rPr>
          <w:rFonts w:ascii="Arial" w:hAnsi="Arial" w:cs="Arial"/>
        </w:rPr>
        <w:t xml:space="preserve"> </w:t>
      </w:r>
      <w:r w:rsidRPr="00971208">
        <w:rPr>
          <w:rFonts w:ascii="Arial" w:hAnsi="Arial" w:cs="Arial"/>
          <w:lang w:val="es-419"/>
        </w:rPr>
        <w:t xml:space="preserve">Jiménez Román v. Tribunal </w:t>
      </w:r>
      <w:r w:rsidR="00A94EFF" w:rsidRPr="00971208">
        <w:rPr>
          <w:rFonts w:ascii="Arial" w:hAnsi="Arial" w:cs="Arial"/>
          <w:lang w:val="es-419"/>
        </w:rPr>
        <w:t>D</w:t>
      </w:r>
      <w:r w:rsidRPr="00971208">
        <w:rPr>
          <w:rFonts w:ascii="Arial" w:hAnsi="Arial" w:cs="Arial"/>
          <w:lang w:val="es-419"/>
        </w:rPr>
        <w:t xml:space="preserve">uperior, 98 </w:t>
      </w:r>
      <w:r w:rsidR="008D06D6" w:rsidRPr="00971208">
        <w:rPr>
          <w:rFonts w:ascii="Arial" w:hAnsi="Arial" w:cs="Arial"/>
          <w:lang w:val="es-419"/>
        </w:rPr>
        <w:t>DPR</w:t>
      </w:r>
      <w:r w:rsidRPr="00971208">
        <w:rPr>
          <w:rFonts w:ascii="Arial" w:hAnsi="Arial" w:cs="Arial"/>
          <w:lang w:val="es-419"/>
        </w:rPr>
        <w:t xml:space="preserve"> 874, 883 (1970)</w:t>
      </w:r>
    </w:p>
  </w:footnote>
  <w:footnote w:id="10">
    <w:p w14:paraId="62D6C589" w14:textId="15004682" w:rsidR="00423D86" w:rsidRPr="000770C9" w:rsidRDefault="00423D86" w:rsidP="00423D86">
      <w:pPr>
        <w:pStyle w:val="FootnoteText"/>
        <w:rPr>
          <w:rFonts w:ascii="Arial" w:hAnsi="Arial" w:cs="Arial"/>
          <w:lang w:val="en-US"/>
        </w:rPr>
      </w:pPr>
      <w:r w:rsidRPr="00971208">
        <w:rPr>
          <w:rStyle w:val="FootnoteReference"/>
          <w:rFonts w:ascii="Arial" w:hAnsi="Arial" w:cs="Arial"/>
        </w:rPr>
        <w:footnoteRef/>
      </w:r>
      <w:r w:rsidRPr="00971208">
        <w:rPr>
          <w:rFonts w:ascii="Arial" w:hAnsi="Arial" w:cs="Arial"/>
          <w:lang w:val="es-419"/>
        </w:rPr>
        <w:t xml:space="preserve"> Guzmán,</w:t>
      </w:r>
      <w:r w:rsidR="00F7075E" w:rsidRPr="00971208">
        <w:rPr>
          <w:rFonts w:ascii="Arial" w:hAnsi="Arial" w:cs="Arial"/>
          <w:lang w:val="es-419"/>
        </w:rPr>
        <w:t xml:space="preserve"> </w:t>
      </w:r>
      <w:r w:rsidR="00F7075E" w:rsidRPr="00971208">
        <w:rPr>
          <w:rFonts w:ascii="Arial" w:hAnsi="Arial" w:cs="Arial"/>
          <w:i/>
          <w:iCs/>
          <w:lang w:val="es-419"/>
        </w:rPr>
        <w:t>supra</w:t>
      </w:r>
      <w:r w:rsidR="00E71EA0" w:rsidRPr="00971208">
        <w:rPr>
          <w:rFonts w:ascii="Arial" w:hAnsi="Arial" w:cs="Arial"/>
          <w:i/>
          <w:iCs/>
          <w:lang w:val="es-419"/>
        </w:rPr>
        <w:t xml:space="preserve"> </w:t>
      </w:r>
      <w:r w:rsidR="00E71EA0" w:rsidRPr="00971208">
        <w:rPr>
          <w:rFonts w:ascii="Arial" w:hAnsi="Arial" w:cs="Arial"/>
          <w:lang w:val="es-419"/>
        </w:rPr>
        <w:t>nota 3, en la pág.</w:t>
      </w:r>
      <w:r w:rsidRPr="00971208">
        <w:rPr>
          <w:rFonts w:ascii="Arial" w:hAnsi="Arial" w:cs="Arial"/>
          <w:lang w:val="es-419"/>
        </w:rPr>
        <w:t xml:space="preserve"> </w:t>
      </w:r>
      <w:r w:rsidRPr="00971208">
        <w:rPr>
          <w:rFonts w:ascii="Arial" w:hAnsi="Arial" w:cs="Arial"/>
          <w:lang w:val="en-US"/>
        </w:rPr>
        <w:t>156.</w:t>
      </w:r>
    </w:p>
  </w:footnote>
  <w:footnote w:id="11">
    <w:p w14:paraId="6464FBBF" w14:textId="77777777" w:rsidR="00423D86" w:rsidRPr="00971208" w:rsidRDefault="00423D86" w:rsidP="00423D86">
      <w:pPr>
        <w:pStyle w:val="FootnoteText"/>
        <w:rPr>
          <w:rFonts w:ascii="Arial" w:hAnsi="Arial" w:cs="Arial"/>
          <w:lang w:val="en-US"/>
        </w:rPr>
      </w:pPr>
      <w:r w:rsidRPr="00971208">
        <w:rPr>
          <w:rStyle w:val="FootnoteReference"/>
          <w:rFonts w:ascii="Arial" w:hAnsi="Arial" w:cs="Arial"/>
        </w:rPr>
        <w:footnoteRef/>
      </w:r>
      <w:r w:rsidRPr="00971208">
        <w:rPr>
          <w:rFonts w:ascii="Arial" w:hAnsi="Arial" w:cs="Arial"/>
          <w:lang w:val="en-US"/>
        </w:rPr>
        <w:t xml:space="preserve"> United States v. Smith, 454 F.Supp.3d 310 (2020).</w:t>
      </w:r>
    </w:p>
  </w:footnote>
  <w:footnote w:id="12">
    <w:p w14:paraId="111ACC92" w14:textId="281890FC" w:rsidR="00423D86" w:rsidRPr="00A40174" w:rsidRDefault="00423D86" w:rsidP="00423D86">
      <w:pPr>
        <w:pStyle w:val="FootnoteText"/>
        <w:rPr>
          <w:rFonts w:ascii="Arial" w:hAnsi="Arial" w:cs="Arial"/>
          <w:lang w:val="en-US"/>
        </w:rPr>
      </w:pPr>
      <w:r w:rsidRPr="00971208">
        <w:rPr>
          <w:rStyle w:val="FootnoteReference"/>
          <w:rFonts w:ascii="Arial" w:hAnsi="Arial" w:cs="Arial"/>
        </w:rPr>
        <w:footnoteRef/>
      </w:r>
      <w:r w:rsidRPr="00971208">
        <w:rPr>
          <w:rFonts w:ascii="Arial" w:hAnsi="Arial" w:cs="Arial"/>
          <w:lang w:val="en-US"/>
        </w:rPr>
        <w:t xml:space="preserve"> Elms v. United States, 457 </w:t>
      </w:r>
      <w:proofErr w:type="spellStart"/>
      <w:r w:rsidRPr="00971208">
        <w:rPr>
          <w:rFonts w:ascii="Arial" w:hAnsi="Arial" w:cs="Arial"/>
          <w:lang w:val="en-US"/>
        </w:rPr>
        <w:t>FSupp</w:t>
      </w:r>
      <w:proofErr w:type="spellEnd"/>
      <w:r w:rsidR="00AB4EF2" w:rsidRPr="00971208">
        <w:rPr>
          <w:rFonts w:ascii="Arial" w:hAnsi="Arial" w:cs="Arial"/>
          <w:lang w:val="en-US"/>
        </w:rPr>
        <w:t xml:space="preserve"> </w:t>
      </w:r>
      <w:r w:rsidRPr="00971208">
        <w:rPr>
          <w:rFonts w:ascii="Arial" w:hAnsi="Arial" w:cs="Arial"/>
          <w:lang w:val="en-US"/>
        </w:rPr>
        <w:t>3d 897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768F"/>
    <w:multiLevelType w:val="hybridMultilevel"/>
    <w:tmpl w:val="33D27754"/>
    <w:lvl w:ilvl="0" w:tplc="DE2851C8">
      <w:start w:val="2"/>
      <w:numFmt w:val="lowerLetter"/>
      <w:lvlText w:val="%1."/>
      <w:lvlJc w:val="left"/>
      <w:pPr>
        <w:ind w:left="144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34320"/>
    <w:multiLevelType w:val="hybridMultilevel"/>
    <w:tmpl w:val="DE12DEFA"/>
    <w:lvl w:ilvl="0" w:tplc="DE2851C8">
      <w:start w:val="2"/>
      <w:numFmt w:val="lowerLetter"/>
      <w:lvlText w:val="%1."/>
      <w:lvlJc w:val="left"/>
      <w:pPr>
        <w:ind w:left="144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92ECE"/>
    <w:multiLevelType w:val="hybridMultilevel"/>
    <w:tmpl w:val="119A93B2"/>
    <w:lvl w:ilvl="0" w:tplc="25D26F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C4E8D"/>
    <w:multiLevelType w:val="hybridMultilevel"/>
    <w:tmpl w:val="31285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040E6"/>
    <w:multiLevelType w:val="hybridMultilevel"/>
    <w:tmpl w:val="BA7CB68E"/>
    <w:lvl w:ilvl="0" w:tplc="4E105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D47EB0"/>
    <w:multiLevelType w:val="hybridMultilevel"/>
    <w:tmpl w:val="DA78BB84"/>
    <w:lvl w:ilvl="0" w:tplc="84ECD11C">
      <w:start w:val="1"/>
      <w:numFmt w:val="lowerLetter"/>
      <w:lvlText w:val="%1."/>
      <w:lvlJc w:val="left"/>
      <w:pPr>
        <w:ind w:left="144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C0D7F"/>
    <w:multiLevelType w:val="hybridMultilevel"/>
    <w:tmpl w:val="7E4A7658"/>
    <w:lvl w:ilvl="0" w:tplc="04090013">
      <w:start w:val="1"/>
      <w:numFmt w:val="upperRoman"/>
      <w:lvlText w:val="%1."/>
      <w:lvlJc w:val="right"/>
      <w:pPr>
        <w:ind w:left="720" w:hanging="360"/>
      </w:pPr>
    </w:lvl>
    <w:lvl w:ilvl="1" w:tplc="AFBA240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47831"/>
    <w:multiLevelType w:val="multilevel"/>
    <w:tmpl w:val="84ECBF4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B71365"/>
    <w:multiLevelType w:val="multilevel"/>
    <w:tmpl w:val="6FFCA894"/>
    <w:lvl w:ilvl="0">
      <w:start w:val="2"/>
      <w:numFmt w:val="lowerLetter"/>
      <w:lvlText w:val="%1."/>
      <w:lvlJc w:val="left"/>
      <w:pPr>
        <w:ind w:left="1440" w:hanging="360"/>
      </w:pPr>
      <w:rPr>
        <w:rFonts w:hint="default"/>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930174"/>
    <w:multiLevelType w:val="multilevel"/>
    <w:tmpl w:val="DF6CEDBE"/>
    <w:lvl w:ilvl="0">
      <w:start w:val="2"/>
      <w:numFmt w:val="lowerLetter"/>
      <w:lvlText w:val="%1."/>
      <w:lvlJc w:val="left"/>
      <w:pPr>
        <w:ind w:left="1440" w:hanging="360"/>
      </w:pPr>
      <w:rPr>
        <w:rFonts w:hint="default"/>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FA1F70"/>
    <w:multiLevelType w:val="hybridMultilevel"/>
    <w:tmpl w:val="6FFCA894"/>
    <w:lvl w:ilvl="0" w:tplc="DE2851C8">
      <w:start w:val="2"/>
      <w:numFmt w:val="lowerLetter"/>
      <w:lvlText w:val="%1."/>
      <w:lvlJc w:val="left"/>
      <w:pPr>
        <w:ind w:left="144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00151"/>
    <w:multiLevelType w:val="hybridMultilevel"/>
    <w:tmpl w:val="5B7CFCEE"/>
    <w:lvl w:ilvl="0" w:tplc="FD185042">
      <w:start w:val="1"/>
      <w:numFmt w:val="lowerLetter"/>
      <w:lvlText w:val="%1."/>
      <w:lvlJc w:val="left"/>
      <w:pPr>
        <w:ind w:left="144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CA0FF7"/>
    <w:multiLevelType w:val="hybridMultilevel"/>
    <w:tmpl w:val="99887ACE"/>
    <w:lvl w:ilvl="0" w:tplc="23BC2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85935"/>
    <w:multiLevelType w:val="hybridMultilevel"/>
    <w:tmpl w:val="2814FED4"/>
    <w:lvl w:ilvl="0" w:tplc="DE2851C8">
      <w:start w:val="2"/>
      <w:numFmt w:val="lowerLetter"/>
      <w:lvlText w:val="%1."/>
      <w:lvlJc w:val="left"/>
      <w:pPr>
        <w:ind w:left="144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26E70"/>
    <w:multiLevelType w:val="hybridMultilevel"/>
    <w:tmpl w:val="D52CA518"/>
    <w:lvl w:ilvl="0" w:tplc="A850A90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B206C5"/>
    <w:multiLevelType w:val="hybridMultilevel"/>
    <w:tmpl w:val="A9A6E09E"/>
    <w:lvl w:ilvl="0" w:tplc="04090013">
      <w:start w:val="1"/>
      <w:numFmt w:val="upperRoman"/>
      <w:lvlText w:val="%1."/>
      <w:lvlJc w:val="right"/>
      <w:pPr>
        <w:ind w:left="720" w:hanging="360"/>
      </w:pPr>
    </w:lvl>
    <w:lvl w:ilvl="1" w:tplc="DE2851C8">
      <w:start w:val="2"/>
      <w:numFmt w:val="lowerLetter"/>
      <w:lvlText w:val="%2."/>
      <w:lvlJc w:val="left"/>
      <w:pPr>
        <w:ind w:left="1440" w:hanging="360"/>
      </w:pPr>
      <w:rPr>
        <w:rFonts w:hint="default"/>
        <w:i/>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7724FF"/>
    <w:multiLevelType w:val="hybridMultilevel"/>
    <w:tmpl w:val="1258103A"/>
    <w:lvl w:ilvl="0" w:tplc="DE2851C8">
      <w:start w:val="2"/>
      <w:numFmt w:val="lowerLetter"/>
      <w:lvlText w:val="%1."/>
      <w:lvlJc w:val="left"/>
      <w:pPr>
        <w:ind w:left="144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61EEC"/>
    <w:multiLevelType w:val="hybridMultilevel"/>
    <w:tmpl w:val="CB5E5880"/>
    <w:lvl w:ilvl="0" w:tplc="EE92D8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847D10"/>
    <w:multiLevelType w:val="hybridMultilevel"/>
    <w:tmpl w:val="27262BBE"/>
    <w:lvl w:ilvl="0" w:tplc="DE2851C8">
      <w:start w:val="2"/>
      <w:numFmt w:val="lowerLetter"/>
      <w:lvlText w:val="%1."/>
      <w:lvlJc w:val="left"/>
      <w:pPr>
        <w:ind w:left="144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F6078D"/>
    <w:multiLevelType w:val="hybridMultilevel"/>
    <w:tmpl w:val="944EE448"/>
    <w:lvl w:ilvl="0" w:tplc="DE2851C8">
      <w:start w:val="2"/>
      <w:numFmt w:val="lowerLetter"/>
      <w:lvlText w:val="%1."/>
      <w:lvlJc w:val="left"/>
      <w:pPr>
        <w:ind w:left="144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7"/>
  </w:num>
  <w:num w:numId="4">
    <w:abstractNumId w:val="0"/>
  </w:num>
  <w:num w:numId="5">
    <w:abstractNumId w:val="1"/>
  </w:num>
  <w:num w:numId="6">
    <w:abstractNumId w:val="5"/>
  </w:num>
  <w:num w:numId="7">
    <w:abstractNumId w:val="9"/>
  </w:num>
  <w:num w:numId="8">
    <w:abstractNumId w:val="10"/>
  </w:num>
  <w:num w:numId="9">
    <w:abstractNumId w:val="11"/>
  </w:num>
  <w:num w:numId="10">
    <w:abstractNumId w:val="8"/>
  </w:num>
  <w:num w:numId="11">
    <w:abstractNumId w:val="19"/>
  </w:num>
  <w:num w:numId="12">
    <w:abstractNumId w:val="16"/>
  </w:num>
  <w:num w:numId="13">
    <w:abstractNumId w:val="13"/>
  </w:num>
  <w:num w:numId="14">
    <w:abstractNumId w:val="18"/>
  </w:num>
  <w:num w:numId="15">
    <w:abstractNumId w:val="4"/>
  </w:num>
  <w:num w:numId="16">
    <w:abstractNumId w:val="3"/>
  </w:num>
  <w:num w:numId="17">
    <w:abstractNumId w:val="12"/>
  </w:num>
  <w:num w:numId="18">
    <w:abstractNumId w:val="2"/>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41"/>
    <w:rsid w:val="000139A2"/>
    <w:rsid w:val="0001454C"/>
    <w:rsid w:val="000220D6"/>
    <w:rsid w:val="00025B22"/>
    <w:rsid w:val="00031BDF"/>
    <w:rsid w:val="00031CB0"/>
    <w:rsid w:val="00031FE0"/>
    <w:rsid w:val="0003424A"/>
    <w:rsid w:val="00035D46"/>
    <w:rsid w:val="00042574"/>
    <w:rsid w:val="00046F54"/>
    <w:rsid w:val="00054FD8"/>
    <w:rsid w:val="00057B23"/>
    <w:rsid w:val="000635AB"/>
    <w:rsid w:val="00063CB6"/>
    <w:rsid w:val="00064EB1"/>
    <w:rsid w:val="000668FE"/>
    <w:rsid w:val="0007490F"/>
    <w:rsid w:val="000764C0"/>
    <w:rsid w:val="000770C9"/>
    <w:rsid w:val="00082DA9"/>
    <w:rsid w:val="000833A5"/>
    <w:rsid w:val="00084056"/>
    <w:rsid w:val="00084307"/>
    <w:rsid w:val="00086A6A"/>
    <w:rsid w:val="00092FA7"/>
    <w:rsid w:val="000A538B"/>
    <w:rsid w:val="000A784A"/>
    <w:rsid w:val="000B421C"/>
    <w:rsid w:val="000B426F"/>
    <w:rsid w:val="000B4B34"/>
    <w:rsid w:val="000B4C91"/>
    <w:rsid w:val="000C122C"/>
    <w:rsid w:val="000C7A14"/>
    <w:rsid w:val="000D0F8C"/>
    <w:rsid w:val="000D3431"/>
    <w:rsid w:val="000D4AEF"/>
    <w:rsid w:val="000D4B77"/>
    <w:rsid w:val="000D5247"/>
    <w:rsid w:val="000E1164"/>
    <w:rsid w:val="000E3E45"/>
    <w:rsid w:val="000E42AB"/>
    <w:rsid w:val="000E75C7"/>
    <w:rsid w:val="000F0BB8"/>
    <w:rsid w:val="000F1C4E"/>
    <w:rsid w:val="000F701B"/>
    <w:rsid w:val="00100E8F"/>
    <w:rsid w:val="00105A3E"/>
    <w:rsid w:val="00113F51"/>
    <w:rsid w:val="001222EE"/>
    <w:rsid w:val="001252AB"/>
    <w:rsid w:val="00130101"/>
    <w:rsid w:val="00131668"/>
    <w:rsid w:val="001324F4"/>
    <w:rsid w:val="0013364F"/>
    <w:rsid w:val="00133F5D"/>
    <w:rsid w:val="001361EB"/>
    <w:rsid w:val="001363D4"/>
    <w:rsid w:val="0014643F"/>
    <w:rsid w:val="00146D01"/>
    <w:rsid w:val="00146FF4"/>
    <w:rsid w:val="00151734"/>
    <w:rsid w:val="00154105"/>
    <w:rsid w:val="001542F3"/>
    <w:rsid w:val="00155625"/>
    <w:rsid w:val="0015614A"/>
    <w:rsid w:val="00157B79"/>
    <w:rsid w:val="00162060"/>
    <w:rsid w:val="001700CA"/>
    <w:rsid w:val="00174813"/>
    <w:rsid w:val="00181788"/>
    <w:rsid w:val="00182247"/>
    <w:rsid w:val="00183DE3"/>
    <w:rsid w:val="00184613"/>
    <w:rsid w:val="00190980"/>
    <w:rsid w:val="001A00D2"/>
    <w:rsid w:val="001A06FF"/>
    <w:rsid w:val="001A3002"/>
    <w:rsid w:val="001B1015"/>
    <w:rsid w:val="001B2790"/>
    <w:rsid w:val="001B7DFA"/>
    <w:rsid w:val="001C0B2E"/>
    <w:rsid w:val="001C4EB2"/>
    <w:rsid w:val="001C537B"/>
    <w:rsid w:val="001D5015"/>
    <w:rsid w:val="001D5669"/>
    <w:rsid w:val="001E0269"/>
    <w:rsid w:val="001E3527"/>
    <w:rsid w:val="0020247C"/>
    <w:rsid w:val="00202BCA"/>
    <w:rsid w:val="00205E80"/>
    <w:rsid w:val="00214DCC"/>
    <w:rsid w:val="002217C8"/>
    <w:rsid w:val="0022324F"/>
    <w:rsid w:val="00223375"/>
    <w:rsid w:val="002233CF"/>
    <w:rsid w:val="00230966"/>
    <w:rsid w:val="00230C2F"/>
    <w:rsid w:val="00233841"/>
    <w:rsid w:val="002349AE"/>
    <w:rsid w:val="00234AA9"/>
    <w:rsid w:val="002355F0"/>
    <w:rsid w:val="00236814"/>
    <w:rsid w:val="00242EF7"/>
    <w:rsid w:val="002453B1"/>
    <w:rsid w:val="00245711"/>
    <w:rsid w:val="00246862"/>
    <w:rsid w:val="00250DCC"/>
    <w:rsid w:val="0026131B"/>
    <w:rsid w:val="002619AE"/>
    <w:rsid w:val="00265F68"/>
    <w:rsid w:val="00270841"/>
    <w:rsid w:val="0027582D"/>
    <w:rsid w:val="0028279A"/>
    <w:rsid w:val="002870DE"/>
    <w:rsid w:val="0028778D"/>
    <w:rsid w:val="0029383E"/>
    <w:rsid w:val="00293F83"/>
    <w:rsid w:val="002942CA"/>
    <w:rsid w:val="002A23C9"/>
    <w:rsid w:val="002A4D96"/>
    <w:rsid w:val="002A56DC"/>
    <w:rsid w:val="002A7C28"/>
    <w:rsid w:val="002B335A"/>
    <w:rsid w:val="002B3385"/>
    <w:rsid w:val="002B3F2C"/>
    <w:rsid w:val="002B72A8"/>
    <w:rsid w:val="002C05B6"/>
    <w:rsid w:val="002C43C8"/>
    <w:rsid w:val="002C50C7"/>
    <w:rsid w:val="002D1CE8"/>
    <w:rsid w:val="002D51A7"/>
    <w:rsid w:val="002E1CC2"/>
    <w:rsid w:val="002E30FF"/>
    <w:rsid w:val="002E54FE"/>
    <w:rsid w:val="002E5A43"/>
    <w:rsid w:val="002F2608"/>
    <w:rsid w:val="002F2AAB"/>
    <w:rsid w:val="002F4F0B"/>
    <w:rsid w:val="002F53CB"/>
    <w:rsid w:val="002F5666"/>
    <w:rsid w:val="002F5986"/>
    <w:rsid w:val="00302A8D"/>
    <w:rsid w:val="00302BD0"/>
    <w:rsid w:val="00303913"/>
    <w:rsid w:val="00303C7B"/>
    <w:rsid w:val="00312D6B"/>
    <w:rsid w:val="0031738D"/>
    <w:rsid w:val="00317673"/>
    <w:rsid w:val="00335FFF"/>
    <w:rsid w:val="00336A49"/>
    <w:rsid w:val="00337637"/>
    <w:rsid w:val="00342713"/>
    <w:rsid w:val="00342AFB"/>
    <w:rsid w:val="003463C8"/>
    <w:rsid w:val="00355A29"/>
    <w:rsid w:val="00355D6C"/>
    <w:rsid w:val="00357458"/>
    <w:rsid w:val="0036467A"/>
    <w:rsid w:val="00364FA8"/>
    <w:rsid w:val="003658D9"/>
    <w:rsid w:val="00373BFA"/>
    <w:rsid w:val="0037423C"/>
    <w:rsid w:val="0037696C"/>
    <w:rsid w:val="00382729"/>
    <w:rsid w:val="00385C58"/>
    <w:rsid w:val="003862F0"/>
    <w:rsid w:val="003868C4"/>
    <w:rsid w:val="00386DC5"/>
    <w:rsid w:val="003873A2"/>
    <w:rsid w:val="00392E87"/>
    <w:rsid w:val="00397519"/>
    <w:rsid w:val="003A17C5"/>
    <w:rsid w:val="003A3013"/>
    <w:rsid w:val="003A722F"/>
    <w:rsid w:val="003B0BCB"/>
    <w:rsid w:val="003B2625"/>
    <w:rsid w:val="003B3938"/>
    <w:rsid w:val="003B6891"/>
    <w:rsid w:val="003C25A0"/>
    <w:rsid w:val="003C6D90"/>
    <w:rsid w:val="003C705C"/>
    <w:rsid w:val="003C7964"/>
    <w:rsid w:val="003C79C4"/>
    <w:rsid w:val="003D0742"/>
    <w:rsid w:val="003D1E6C"/>
    <w:rsid w:val="003D334B"/>
    <w:rsid w:val="003D5E5C"/>
    <w:rsid w:val="003E31AD"/>
    <w:rsid w:val="003E4B85"/>
    <w:rsid w:val="003E5C1E"/>
    <w:rsid w:val="003E5C3A"/>
    <w:rsid w:val="003E691A"/>
    <w:rsid w:val="003F24F2"/>
    <w:rsid w:val="003F3248"/>
    <w:rsid w:val="003F5F03"/>
    <w:rsid w:val="003F6E71"/>
    <w:rsid w:val="003F752C"/>
    <w:rsid w:val="003F76D6"/>
    <w:rsid w:val="003F788B"/>
    <w:rsid w:val="0040517B"/>
    <w:rsid w:val="00413B2C"/>
    <w:rsid w:val="004149EF"/>
    <w:rsid w:val="00417746"/>
    <w:rsid w:val="00420E91"/>
    <w:rsid w:val="00423D86"/>
    <w:rsid w:val="00424568"/>
    <w:rsid w:val="00427648"/>
    <w:rsid w:val="0043103E"/>
    <w:rsid w:val="00433495"/>
    <w:rsid w:val="0044391F"/>
    <w:rsid w:val="00456128"/>
    <w:rsid w:val="00461B47"/>
    <w:rsid w:val="00461DA6"/>
    <w:rsid w:val="00464E97"/>
    <w:rsid w:val="004662D4"/>
    <w:rsid w:val="0046641E"/>
    <w:rsid w:val="00466DA9"/>
    <w:rsid w:val="004743CA"/>
    <w:rsid w:val="00474C34"/>
    <w:rsid w:val="00474F52"/>
    <w:rsid w:val="0047585C"/>
    <w:rsid w:val="00476BAC"/>
    <w:rsid w:val="004849B8"/>
    <w:rsid w:val="0048708A"/>
    <w:rsid w:val="00490C27"/>
    <w:rsid w:val="004916FC"/>
    <w:rsid w:val="00493A4E"/>
    <w:rsid w:val="00494593"/>
    <w:rsid w:val="004957A2"/>
    <w:rsid w:val="004A24AD"/>
    <w:rsid w:val="004A2704"/>
    <w:rsid w:val="004A3259"/>
    <w:rsid w:val="004A35F2"/>
    <w:rsid w:val="004A3BE4"/>
    <w:rsid w:val="004B1A68"/>
    <w:rsid w:val="004B1D73"/>
    <w:rsid w:val="004B5E40"/>
    <w:rsid w:val="004B6A9A"/>
    <w:rsid w:val="004B7A7F"/>
    <w:rsid w:val="004D254D"/>
    <w:rsid w:val="004D6C0C"/>
    <w:rsid w:val="004E1BFF"/>
    <w:rsid w:val="004F0F34"/>
    <w:rsid w:val="004F28E9"/>
    <w:rsid w:val="004F3622"/>
    <w:rsid w:val="004F511C"/>
    <w:rsid w:val="004F56E4"/>
    <w:rsid w:val="004F57B3"/>
    <w:rsid w:val="004F6B23"/>
    <w:rsid w:val="00500D8F"/>
    <w:rsid w:val="005102F2"/>
    <w:rsid w:val="00513FA6"/>
    <w:rsid w:val="005206C0"/>
    <w:rsid w:val="00520BFE"/>
    <w:rsid w:val="00523ECD"/>
    <w:rsid w:val="0052573B"/>
    <w:rsid w:val="0053288F"/>
    <w:rsid w:val="00533041"/>
    <w:rsid w:val="00534EBA"/>
    <w:rsid w:val="00535A41"/>
    <w:rsid w:val="00537286"/>
    <w:rsid w:val="005419E8"/>
    <w:rsid w:val="00542B70"/>
    <w:rsid w:val="005504AC"/>
    <w:rsid w:val="00551D67"/>
    <w:rsid w:val="00554776"/>
    <w:rsid w:val="00555B2C"/>
    <w:rsid w:val="00555BDF"/>
    <w:rsid w:val="00556B7C"/>
    <w:rsid w:val="00557357"/>
    <w:rsid w:val="00560CDF"/>
    <w:rsid w:val="00560F3B"/>
    <w:rsid w:val="00562B12"/>
    <w:rsid w:val="005671AF"/>
    <w:rsid w:val="005746D7"/>
    <w:rsid w:val="00575EA4"/>
    <w:rsid w:val="005817E9"/>
    <w:rsid w:val="00585EF8"/>
    <w:rsid w:val="00586083"/>
    <w:rsid w:val="00586D9F"/>
    <w:rsid w:val="00587954"/>
    <w:rsid w:val="00587F22"/>
    <w:rsid w:val="00591B7D"/>
    <w:rsid w:val="005A0A55"/>
    <w:rsid w:val="005A1D42"/>
    <w:rsid w:val="005A38FA"/>
    <w:rsid w:val="005A4E20"/>
    <w:rsid w:val="005A60E0"/>
    <w:rsid w:val="005B4309"/>
    <w:rsid w:val="005B6BD5"/>
    <w:rsid w:val="005B755E"/>
    <w:rsid w:val="005C2672"/>
    <w:rsid w:val="005D0987"/>
    <w:rsid w:val="005D4837"/>
    <w:rsid w:val="005E174C"/>
    <w:rsid w:val="005E190C"/>
    <w:rsid w:val="005E7A2E"/>
    <w:rsid w:val="005F157B"/>
    <w:rsid w:val="005F1AC8"/>
    <w:rsid w:val="005F43AF"/>
    <w:rsid w:val="005F483A"/>
    <w:rsid w:val="005F73CA"/>
    <w:rsid w:val="00607FFD"/>
    <w:rsid w:val="00611057"/>
    <w:rsid w:val="00613FF7"/>
    <w:rsid w:val="00615173"/>
    <w:rsid w:val="00621B5C"/>
    <w:rsid w:val="0062463B"/>
    <w:rsid w:val="00625503"/>
    <w:rsid w:val="006273C5"/>
    <w:rsid w:val="00627A96"/>
    <w:rsid w:val="00627CE0"/>
    <w:rsid w:val="00633CC9"/>
    <w:rsid w:val="00635D14"/>
    <w:rsid w:val="006372BD"/>
    <w:rsid w:val="006436F3"/>
    <w:rsid w:val="0064438C"/>
    <w:rsid w:val="00645037"/>
    <w:rsid w:val="00645C9A"/>
    <w:rsid w:val="006471DA"/>
    <w:rsid w:val="00647635"/>
    <w:rsid w:val="006518F8"/>
    <w:rsid w:val="00651CDF"/>
    <w:rsid w:val="00657568"/>
    <w:rsid w:val="0066081F"/>
    <w:rsid w:val="0066147E"/>
    <w:rsid w:val="006637EA"/>
    <w:rsid w:val="00665311"/>
    <w:rsid w:val="006713E3"/>
    <w:rsid w:val="00672497"/>
    <w:rsid w:val="00675684"/>
    <w:rsid w:val="006778DF"/>
    <w:rsid w:val="00677C21"/>
    <w:rsid w:val="00680F4F"/>
    <w:rsid w:val="00686E86"/>
    <w:rsid w:val="006925D9"/>
    <w:rsid w:val="00692AB2"/>
    <w:rsid w:val="00696D8F"/>
    <w:rsid w:val="006A683D"/>
    <w:rsid w:val="006A690D"/>
    <w:rsid w:val="006B0649"/>
    <w:rsid w:val="006B1490"/>
    <w:rsid w:val="006B207B"/>
    <w:rsid w:val="006B279B"/>
    <w:rsid w:val="006B319E"/>
    <w:rsid w:val="006B4A65"/>
    <w:rsid w:val="006B7962"/>
    <w:rsid w:val="006B7EA9"/>
    <w:rsid w:val="006E3BE2"/>
    <w:rsid w:val="006F0EA5"/>
    <w:rsid w:val="006F260F"/>
    <w:rsid w:val="00702FE7"/>
    <w:rsid w:val="007033D9"/>
    <w:rsid w:val="00705270"/>
    <w:rsid w:val="007123C3"/>
    <w:rsid w:val="00714354"/>
    <w:rsid w:val="00722C7F"/>
    <w:rsid w:val="00723023"/>
    <w:rsid w:val="00724BBA"/>
    <w:rsid w:val="007258E2"/>
    <w:rsid w:val="00726178"/>
    <w:rsid w:val="00742917"/>
    <w:rsid w:val="0074608B"/>
    <w:rsid w:val="00747D7E"/>
    <w:rsid w:val="007526B7"/>
    <w:rsid w:val="0075517B"/>
    <w:rsid w:val="00761752"/>
    <w:rsid w:val="007665F4"/>
    <w:rsid w:val="00766960"/>
    <w:rsid w:val="0077076E"/>
    <w:rsid w:val="00770CE6"/>
    <w:rsid w:val="00771293"/>
    <w:rsid w:val="00772656"/>
    <w:rsid w:val="0078118D"/>
    <w:rsid w:val="0078149F"/>
    <w:rsid w:val="00785992"/>
    <w:rsid w:val="00786920"/>
    <w:rsid w:val="007945CD"/>
    <w:rsid w:val="007A1202"/>
    <w:rsid w:val="007A202C"/>
    <w:rsid w:val="007A757C"/>
    <w:rsid w:val="007B0115"/>
    <w:rsid w:val="007B6180"/>
    <w:rsid w:val="007C12F4"/>
    <w:rsid w:val="007C1C5D"/>
    <w:rsid w:val="007C31E2"/>
    <w:rsid w:val="007C4D44"/>
    <w:rsid w:val="007C742A"/>
    <w:rsid w:val="007D0999"/>
    <w:rsid w:val="007D1EEF"/>
    <w:rsid w:val="007D20DC"/>
    <w:rsid w:val="007D3009"/>
    <w:rsid w:val="007D504F"/>
    <w:rsid w:val="007D5EA6"/>
    <w:rsid w:val="007D7E93"/>
    <w:rsid w:val="007E05DD"/>
    <w:rsid w:val="007E3FAB"/>
    <w:rsid w:val="007E6FC1"/>
    <w:rsid w:val="007F195F"/>
    <w:rsid w:val="007F2A74"/>
    <w:rsid w:val="007F2C4B"/>
    <w:rsid w:val="007F4C2A"/>
    <w:rsid w:val="007F6C9E"/>
    <w:rsid w:val="007F72B3"/>
    <w:rsid w:val="00800B99"/>
    <w:rsid w:val="00800ED7"/>
    <w:rsid w:val="00805558"/>
    <w:rsid w:val="00823593"/>
    <w:rsid w:val="008241E0"/>
    <w:rsid w:val="008254E5"/>
    <w:rsid w:val="00833709"/>
    <w:rsid w:val="00841889"/>
    <w:rsid w:val="008420E8"/>
    <w:rsid w:val="00847E61"/>
    <w:rsid w:val="008533E4"/>
    <w:rsid w:val="0085361D"/>
    <w:rsid w:val="00855B2A"/>
    <w:rsid w:val="008568E9"/>
    <w:rsid w:val="00862A74"/>
    <w:rsid w:val="008636AD"/>
    <w:rsid w:val="00864137"/>
    <w:rsid w:val="00865C8B"/>
    <w:rsid w:val="00867C1E"/>
    <w:rsid w:val="00873634"/>
    <w:rsid w:val="00875C7B"/>
    <w:rsid w:val="00876003"/>
    <w:rsid w:val="00880646"/>
    <w:rsid w:val="00880CD9"/>
    <w:rsid w:val="008828E7"/>
    <w:rsid w:val="0088588D"/>
    <w:rsid w:val="00895DFE"/>
    <w:rsid w:val="00895FE1"/>
    <w:rsid w:val="008A3241"/>
    <w:rsid w:val="008B3FAB"/>
    <w:rsid w:val="008D06D6"/>
    <w:rsid w:val="008D785B"/>
    <w:rsid w:val="008E5D9F"/>
    <w:rsid w:val="008F06EB"/>
    <w:rsid w:val="008F1139"/>
    <w:rsid w:val="008F3B4E"/>
    <w:rsid w:val="008F7C43"/>
    <w:rsid w:val="00900C06"/>
    <w:rsid w:val="00902D89"/>
    <w:rsid w:val="00907243"/>
    <w:rsid w:val="00916812"/>
    <w:rsid w:val="009249FC"/>
    <w:rsid w:val="00925878"/>
    <w:rsid w:val="00927BED"/>
    <w:rsid w:val="009311C8"/>
    <w:rsid w:val="009322FA"/>
    <w:rsid w:val="009365E1"/>
    <w:rsid w:val="0093710E"/>
    <w:rsid w:val="00941E71"/>
    <w:rsid w:val="009426F5"/>
    <w:rsid w:val="009448D2"/>
    <w:rsid w:val="0094744F"/>
    <w:rsid w:val="00952E5C"/>
    <w:rsid w:val="00955246"/>
    <w:rsid w:val="00955D7B"/>
    <w:rsid w:val="00957EA5"/>
    <w:rsid w:val="00965CB3"/>
    <w:rsid w:val="00965D23"/>
    <w:rsid w:val="00971208"/>
    <w:rsid w:val="00971766"/>
    <w:rsid w:val="00971CC9"/>
    <w:rsid w:val="00971FB0"/>
    <w:rsid w:val="00974AB2"/>
    <w:rsid w:val="009923C0"/>
    <w:rsid w:val="00994E36"/>
    <w:rsid w:val="00995585"/>
    <w:rsid w:val="00997240"/>
    <w:rsid w:val="009B3B9B"/>
    <w:rsid w:val="009C0F49"/>
    <w:rsid w:val="009C2F20"/>
    <w:rsid w:val="009C7B32"/>
    <w:rsid w:val="009D0FAA"/>
    <w:rsid w:val="009D1FFC"/>
    <w:rsid w:val="009D33D1"/>
    <w:rsid w:val="009D384F"/>
    <w:rsid w:val="009D4368"/>
    <w:rsid w:val="009D4AAC"/>
    <w:rsid w:val="009D7914"/>
    <w:rsid w:val="009E101C"/>
    <w:rsid w:val="009E1367"/>
    <w:rsid w:val="009E3015"/>
    <w:rsid w:val="009E3102"/>
    <w:rsid w:val="009E5300"/>
    <w:rsid w:val="009E6282"/>
    <w:rsid w:val="009E700E"/>
    <w:rsid w:val="009E739B"/>
    <w:rsid w:val="009E7CB6"/>
    <w:rsid w:val="009F077C"/>
    <w:rsid w:val="009F2D5E"/>
    <w:rsid w:val="009F47A8"/>
    <w:rsid w:val="009F4BCC"/>
    <w:rsid w:val="009F4F8C"/>
    <w:rsid w:val="009F58FC"/>
    <w:rsid w:val="009F6513"/>
    <w:rsid w:val="009F6938"/>
    <w:rsid w:val="009F7B86"/>
    <w:rsid w:val="00A01DFC"/>
    <w:rsid w:val="00A0387F"/>
    <w:rsid w:val="00A040A8"/>
    <w:rsid w:val="00A0412C"/>
    <w:rsid w:val="00A057FB"/>
    <w:rsid w:val="00A06737"/>
    <w:rsid w:val="00A0740B"/>
    <w:rsid w:val="00A23DA8"/>
    <w:rsid w:val="00A24D8E"/>
    <w:rsid w:val="00A26B70"/>
    <w:rsid w:val="00A31C7B"/>
    <w:rsid w:val="00A32DF6"/>
    <w:rsid w:val="00A3592C"/>
    <w:rsid w:val="00A3611E"/>
    <w:rsid w:val="00A36973"/>
    <w:rsid w:val="00A40174"/>
    <w:rsid w:val="00A4113D"/>
    <w:rsid w:val="00A43116"/>
    <w:rsid w:val="00A4749C"/>
    <w:rsid w:val="00A52785"/>
    <w:rsid w:val="00A53E8A"/>
    <w:rsid w:val="00A5497B"/>
    <w:rsid w:val="00A61FD6"/>
    <w:rsid w:val="00A6515C"/>
    <w:rsid w:val="00A6754D"/>
    <w:rsid w:val="00A701C7"/>
    <w:rsid w:val="00A72245"/>
    <w:rsid w:val="00A731A1"/>
    <w:rsid w:val="00A75D66"/>
    <w:rsid w:val="00A93793"/>
    <w:rsid w:val="00A93FDE"/>
    <w:rsid w:val="00A94EFF"/>
    <w:rsid w:val="00AA1569"/>
    <w:rsid w:val="00AA1B1E"/>
    <w:rsid w:val="00AA4125"/>
    <w:rsid w:val="00AA7E09"/>
    <w:rsid w:val="00AB26C5"/>
    <w:rsid w:val="00AB2A68"/>
    <w:rsid w:val="00AB47D6"/>
    <w:rsid w:val="00AB4EF2"/>
    <w:rsid w:val="00AB50D0"/>
    <w:rsid w:val="00AB6CCA"/>
    <w:rsid w:val="00AC108D"/>
    <w:rsid w:val="00AC15B7"/>
    <w:rsid w:val="00AC2019"/>
    <w:rsid w:val="00AC3475"/>
    <w:rsid w:val="00AC364C"/>
    <w:rsid w:val="00AC5AD1"/>
    <w:rsid w:val="00AC6FF3"/>
    <w:rsid w:val="00AD0689"/>
    <w:rsid w:val="00AD0DD6"/>
    <w:rsid w:val="00AD315F"/>
    <w:rsid w:val="00AD3FC1"/>
    <w:rsid w:val="00AD5498"/>
    <w:rsid w:val="00AE0B49"/>
    <w:rsid w:val="00AE19C1"/>
    <w:rsid w:val="00AE2C48"/>
    <w:rsid w:val="00AE3D9E"/>
    <w:rsid w:val="00AE3ED9"/>
    <w:rsid w:val="00AE5F44"/>
    <w:rsid w:val="00AE77A6"/>
    <w:rsid w:val="00AF0C9D"/>
    <w:rsid w:val="00AF1DFC"/>
    <w:rsid w:val="00AF3077"/>
    <w:rsid w:val="00AF4E6A"/>
    <w:rsid w:val="00AF5567"/>
    <w:rsid w:val="00AF6749"/>
    <w:rsid w:val="00B00F44"/>
    <w:rsid w:val="00B01DD5"/>
    <w:rsid w:val="00B03C59"/>
    <w:rsid w:val="00B054A4"/>
    <w:rsid w:val="00B07572"/>
    <w:rsid w:val="00B079D9"/>
    <w:rsid w:val="00B10472"/>
    <w:rsid w:val="00B10D2F"/>
    <w:rsid w:val="00B11496"/>
    <w:rsid w:val="00B1420C"/>
    <w:rsid w:val="00B154F5"/>
    <w:rsid w:val="00B239FD"/>
    <w:rsid w:val="00B243C1"/>
    <w:rsid w:val="00B3006E"/>
    <w:rsid w:val="00B313D9"/>
    <w:rsid w:val="00B33303"/>
    <w:rsid w:val="00B4077D"/>
    <w:rsid w:val="00B40CC4"/>
    <w:rsid w:val="00B4103F"/>
    <w:rsid w:val="00B479B5"/>
    <w:rsid w:val="00B648BC"/>
    <w:rsid w:val="00B7236B"/>
    <w:rsid w:val="00B73D31"/>
    <w:rsid w:val="00B74AFC"/>
    <w:rsid w:val="00B74D87"/>
    <w:rsid w:val="00B77FD3"/>
    <w:rsid w:val="00B80F0F"/>
    <w:rsid w:val="00B852CB"/>
    <w:rsid w:val="00B8680C"/>
    <w:rsid w:val="00B9107D"/>
    <w:rsid w:val="00B95F54"/>
    <w:rsid w:val="00BB316E"/>
    <w:rsid w:val="00BB60B7"/>
    <w:rsid w:val="00BB62CB"/>
    <w:rsid w:val="00BC1673"/>
    <w:rsid w:val="00BC3B1C"/>
    <w:rsid w:val="00BC41CB"/>
    <w:rsid w:val="00BC48F9"/>
    <w:rsid w:val="00BD5F94"/>
    <w:rsid w:val="00BD74B8"/>
    <w:rsid w:val="00BE2F5D"/>
    <w:rsid w:val="00BE3F1D"/>
    <w:rsid w:val="00BE7AE2"/>
    <w:rsid w:val="00BF2AF9"/>
    <w:rsid w:val="00BF46A5"/>
    <w:rsid w:val="00BF5562"/>
    <w:rsid w:val="00BF774F"/>
    <w:rsid w:val="00BF79AA"/>
    <w:rsid w:val="00C001C1"/>
    <w:rsid w:val="00C00826"/>
    <w:rsid w:val="00C01428"/>
    <w:rsid w:val="00C01964"/>
    <w:rsid w:val="00C05714"/>
    <w:rsid w:val="00C05799"/>
    <w:rsid w:val="00C10E1E"/>
    <w:rsid w:val="00C1246B"/>
    <w:rsid w:val="00C158A4"/>
    <w:rsid w:val="00C207B4"/>
    <w:rsid w:val="00C2242E"/>
    <w:rsid w:val="00C278DB"/>
    <w:rsid w:val="00C322C6"/>
    <w:rsid w:val="00C328BA"/>
    <w:rsid w:val="00C33AE0"/>
    <w:rsid w:val="00C33BD6"/>
    <w:rsid w:val="00C354DC"/>
    <w:rsid w:val="00C362F7"/>
    <w:rsid w:val="00C365C3"/>
    <w:rsid w:val="00C36607"/>
    <w:rsid w:val="00C40C06"/>
    <w:rsid w:val="00C424C8"/>
    <w:rsid w:val="00C43121"/>
    <w:rsid w:val="00C4709D"/>
    <w:rsid w:val="00C51B06"/>
    <w:rsid w:val="00C60CE4"/>
    <w:rsid w:val="00C656AE"/>
    <w:rsid w:val="00C67DC3"/>
    <w:rsid w:val="00C80715"/>
    <w:rsid w:val="00C824E4"/>
    <w:rsid w:val="00C90426"/>
    <w:rsid w:val="00C92384"/>
    <w:rsid w:val="00C94F9E"/>
    <w:rsid w:val="00C95E53"/>
    <w:rsid w:val="00C9720C"/>
    <w:rsid w:val="00CA2091"/>
    <w:rsid w:val="00CA7449"/>
    <w:rsid w:val="00CB3B8B"/>
    <w:rsid w:val="00CB7936"/>
    <w:rsid w:val="00CC086E"/>
    <w:rsid w:val="00CC1877"/>
    <w:rsid w:val="00CC23D0"/>
    <w:rsid w:val="00CC4050"/>
    <w:rsid w:val="00CC56A8"/>
    <w:rsid w:val="00CC70E6"/>
    <w:rsid w:val="00CD0031"/>
    <w:rsid w:val="00CD0505"/>
    <w:rsid w:val="00CD2097"/>
    <w:rsid w:val="00CD3235"/>
    <w:rsid w:val="00CD60E5"/>
    <w:rsid w:val="00CD65C8"/>
    <w:rsid w:val="00CD7789"/>
    <w:rsid w:val="00CE2B68"/>
    <w:rsid w:val="00CE36CC"/>
    <w:rsid w:val="00CE5790"/>
    <w:rsid w:val="00CE7089"/>
    <w:rsid w:val="00CF4850"/>
    <w:rsid w:val="00D003C8"/>
    <w:rsid w:val="00D01B8C"/>
    <w:rsid w:val="00D04065"/>
    <w:rsid w:val="00D065B6"/>
    <w:rsid w:val="00D10683"/>
    <w:rsid w:val="00D11826"/>
    <w:rsid w:val="00D22C64"/>
    <w:rsid w:val="00D25608"/>
    <w:rsid w:val="00D270AA"/>
    <w:rsid w:val="00D27ACC"/>
    <w:rsid w:val="00D31B49"/>
    <w:rsid w:val="00D333C2"/>
    <w:rsid w:val="00D33834"/>
    <w:rsid w:val="00D40706"/>
    <w:rsid w:val="00D4289E"/>
    <w:rsid w:val="00D53318"/>
    <w:rsid w:val="00D5504B"/>
    <w:rsid w:val="00D56DBC"/>
    <w:rsid w:val="00D57CBE"/>
    <w:rsid w:val="00D645D1"/>
    <w:rsid w:val="00D67E2A"/>
    <w:rsid w:val="00D73EA3"/>
    <w:rsid w:val="00D77CF0"/>
    <w:rsid w:val="00D81224"/>
    <w:rsid w:val="00D86378"/>
    <w:rsid w:val="00D929A5"/>
    <w:rsid w:val="00D96F15"/>
    <w:rsid w:val="00DA1A8C"/>
    <w:rsid w:val="00DA3766"/>
    <w:rsid w:val="00DB0E87"/>
    <w:rsid w:val="00DB6DB0"/>
    <w:rsid w:val="00DC28EB"/>
    <w:rsid w:val="00DC3E19"/>
    <w:rsid w:val="00DC62BB"/>
    <w:rsid w:val="00DC6B92"/>
    <w:rsid w:val="00DC75DB"/>
    <w:rsid w:val="00DD2A3D"/>
    <w:rsid w:val="00DF3CE5"/>
    <w:rsid w:val="00DF4E76"/>
    <w:rsid w:val="00E001BC"/>
    <w:rsid w:val="00E01F39"/>
    <w:rsid w:val="00E046ED"/>
    <w:rsid w:val="00E05BD6"/>
    <w:rsid w:val="00E05F53"/>
    <w:rsid w:val="00E16686"/>
    <w:rsid w:val="00E22FD3"/>
    <w:rsid w:val="00E302D4"/>
    <w:rsid w:val="00E31C0A"/>
    <w:rsid w:val="00E339C5"/>
    <w:rsid w:val="00E34938"/>
    <w:rsid w:val="00E34FAF"/>
    <w:rsid w:val="00E3681F"/>
    <w:rsid w:val="00E36A72"/>
    <w:rsid w:val="00E40635"/>
    <w:rsid w:val="00E41A85"/>
    <w:rsid w:val="00E41BCE"/>
    <w:rsid w:val="00E5079E"/>
    <w:rsid w:val="00E51F93"/>
    <w:rsid w:val="00E53FB7"/>
    <w:rsid w:val="00E5599F"/>
    <w:rsid w:val="00E567F2"/>
    <w:rsid w:val="00E57B1B"/>
    <w:rsid w:val="00E60563"/>
    <w:rsid w:val="00E61395"/>
    <w:rsid w:val="00E65106"/>
    <w:rsid w:val="00E67B39"/>
    <w:rsid w:val="00E71EA0"/>
    <w:rsid w:val="00E731B6"/>
    <w:rsid w:val="00E826E0"/>
    <w:rsid w:val="00E82CCD"/>
    <w:rsid w:val="00E87406"/>
    <w:rsid w:val="00E90AAE"/>
    <w:rsid w:val="00E93FA5"/>
    <w:rsid w:val="00E9400B"/>
    <w:rsid w:val="00E947C3"/>
    <w:rsid w:val="00EA218E"/>
    <w:rsid w:val="00EA745B"/>
    <w:rsid w:val="00EB1CA4"/>
    <w:rsid w:val="00EB4EF0"/>
    <w:rsid w:val="00EC133F"/>
    <w:rsid w:val="00EC2CC2"/>
    <w:rsid w:val="00EC667C"/>
    <w:rsid w:val="00ED2D47"/>
    <w:rsid w:val="00ED5578"/>
    <w:rsid w:val="00ED767B"/>
    <w:rsid w:val="00EE5552"/>
    <w:rsid w:val="00EF2205"/>
    <w:rsid w:val="00EF394C"/>
    <w:rsid w:val="00EF78B9"/>
    <w:rsid w:val="00F014C8"/>
    <w:rsid w:val="00F02F21"/>
    <w:rsid w:val="00F048B0"/>
    <w:rsid w:val="00F13ED3"/>
    <w:rsid w:val="00F160D0"/>
    <w:rsid w:val="00F16DA6"/>
    <w:rsid w:val="00F2007E"/>
    <w:rsid w:val="00F214E5"/>
    <w:rsid w:val="00F332DD"/>
    <w:rsid w:val="00F33D7F"/>
    <w:rsid w:val="00F345F2"/>
    <w:rsid w:val="00F3487D"/>
    <w:rsid w:val="00F37A1B"/>
    <w:rsid w:val="00F40C98"/>
    <w:rsid w:val="00F44863"/>
    <w:rsid w:val="00F466B8"/>
    <w:rsid w:val="00F53AF9"/>
    <w:rsid w:val="00F550FE"/>
    <w:rsid w:val="00F568B9"/>
    <w:rsid w:val="00F5740B"/>
    <w:rsid w:val="00F66DDD"/>
    <w:rsid w:val="00F6737E"/>
    <w:rsid w:val="00F705BE"/>
    <w:rsid w:val="00F7075E"/>
    <w:rsid w:val="00F70A49"/>
    <w:rsid w:val="00F71BB2"/>
    <w:rsid w:val="00F7349E"/>
    <w:rsid w:val="00F7432A"/>
    <w:rsid w:val="00F7459F"/>
    <w:rsid w:val="00F832A0"/>
    <w:rsid w:val="00F877D9"/>
    <w:rsid w:val="00F9223A"/>
    <w:rsid w:val="00F93679"/>
    <w:rsid w:val="00F95FB9"/>
    <w:rsid w:val="00F97B15"/>
    <w:rsid w:val="00FA4832"/>
    <w:rsid w:val="00FA5700"/>
    <w:rsid w:val="00FB4BA8"/>
    <w:rsid w:val="00FB5596"/>
    <w:rsid w:val="00FB588A"/>
    <w:rsid w:val="00FC05B9"/>
    <w:rsid w:val="00FC19C7"/>
    <w:rsid w:val="00FC243B"/>
    <w:rsid w:val="00FC32BF"/>
    <w:rsid w:val="00FC3746"/>
    <w:rsid w:val="00FC5C27"/>
    <w:rsid w:val="00FD3645"/>
    <w:rsid w:val="00FD6CF7"/>
    <w:rsid w:val="00FE0E60"/>
    <w:rsid w:val="00FE1C43"/>
    <w:rsid w:val="00FE390C"/>
    <w:rsid w:val="00FE5C8F"/>
    <w:rsid w:val="00FE7944"/>
    <w:rsid w:val="00FF1808"/>
    <w:rsid w:val="00FF1E32"/>
    <w:rsid w:val="00FF33DB"/>
    <w:rsid w:val="00FF6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3AC7"/>
  <w15:chartTrackingRefBased/>
  <w15:docId w15:val="{D22A7314-B965-BD4A-8F9A-A5DF7E43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37B"/>
    <w:rPr>
      <w:rFonts w:ascii="Times New Roman" w:eastAsia="Times New Roman" w:hAnsi="Times New Roman" w:cs="Times New Roman"/>
    </w:rPr>
  </w:style>
  <w:style w:type="paragraph" w:styleId="Heading1">
    <w:name w:val="heading 1"/>
    <w:basedOn w:val="Normal"/>
    <w:link w:val="Heading1Char"/>
    <w:uiPriority w:val="9"/>
    <w:qFormat/>
    <w:rsid w:val="00293F8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5F2"/>
    <w:pPr>
      <w:ind w:left="720"/>
      <w:contextualSpacing/>
    </w:pPr>
    <w:rPr>
      <w:rFonts w:asciiTheme="minorHAnsi" w:eastAsiaTheme="minorHAnsi" w:hAnsiTheme="minorHAnsi" w:cstheme="minorBidi"/>
      <w:lang w:val="es-ES"/>
    </w:rPr>
  </w:style>
  <w:style w:type="paragraph" w:styleId="FootnoteText">
    <w:name w:val="footnote text"/>
    <w:basedOn w:val="Normal"/>
    <w:link w:val="FootnoteTextChar"/>
    <w:uiPriority w:val="99"/>
    <w:semiHidden/>
    <w:unhideWhenUsed/>
    <w:rsid w:val="00965D23"/>
    <w:rPr>
      <w:rFonts w:asciiTheme="minorHAnsi" w:eastAsiaTheme="minorHAnsi" w:hAnsiTheme="minorHAnsi" w:cstheme="minorBidi"/>
      <w:sz w:val="20"/>
      <w:szCs w:val="20"/>
      <w:lang w:val="es-ES"/>
    </w:rPr>
  </w:style>
  <w:style w:type="character" w:customStyle="1" w:styleId="FootnoteTextChar">
    <w:name w:val="Footnote Text Char"/>
    <w:basedOn w:val="DefaultParagraphFont"/>
    <w:link w:val="FootnoteText"/>
    <w:uiPriority w:val="99"/>
    <w:semiHidden/>
    <w:rsid w:val="00965D23"/>
    <w:rPr>
      <w:sz w:val="20"/>
      <w:szCs w:val="20"/>
      <w:lang w:val="es-ES"/>
    </w:rPr>
  </w:style>
  <w:style w:type="character" w:styleId="FootnoteReference">
    <w:name w:val="footnote reference"/>
    <w:basedOn w:val="DefaultParagraphFont"/>
    <w:uiPriority w:val="99"/>
    <w:semiHidden/>
    <w:unhideWhenUsed/>
    <w:rsid w:val="00965D23"/>
    <w:rPr>
      <w:vertAlign w:val="superscript"/>
    </w:rPr>
  </w:style>
  <w:style w:type="paragraph" w:styleId="EndnoteText">
    <w:name w:val="endnote text"/>
    <w:basedOn w:val="Normal"/>
    <w:link w:val="EndnoteTextChar"/>
    <w:uiPriority w:val="99"/>
    <w:semiHidden/>
    <w:unhideWhenUsed/>
    <w:rsid w:val="00A24D8E"/>
    <w:rPr>
      <w:rFonts w:asciiTheme="minorHAnsi" w:eastAsiaTheme="minorHAnsi" w:hAnsiTheme="minorHAnsi" w:cstheme="minorBidi"/>
      <w:sz w:val="20"/>
      <w:szCs w:val="20"/>
      <w:lang w:val="es-ES"/>
    </w:rPr>
  </w:style>
  <w:style w:type="character" w:customStyle="1" w:styleId="EndnoteTextChar">
    <w:name w:val="Endnote Text Char"/>
    <w:basedOn w:val="DefaultParagraphFont"/>
    <w:link w:val="EndnoteText"/>
    <w:uiPriority w:val="99"/>
    <w:semiHidden/>
    <w:rsid w:val="00A24D8E"/>
    <w:rPr>
      <w:sz w:val="20"/>
      <w:szCs w:val="20"/>
      <w:lang w:val="es-ES"/>
    </w:rPr>
  </w:style>
  <w:style w:type="character" w:styleId="EndnoteReference">
    <w:name w:val="endnote reference"/>
    <w:basedOn w:val="DefaultParagraphFont"/>
    <w:uiPriority w:val="99"/>
    <w:semiHidden/>
    <w:unhideWhenUsed/>
    <w:rsid w:val="00A24D8E"/>
    <w:rPr>
      <w:vertAlign w:val="superscript"/>
    </w:rPr>
  </w:style>
  <w:style w:type="character" w:styleId="Hyperlink">
    <w:name w:val="Hyperlink"/>
    <w:basedOn w:val="DefaultParagraphFont"/>
    <w:uiPriority w:val="99"/>
    <w:unhideWhenUsed/>
    <w:rsid w:val="007D5EA6"/>
    <w:rPr>
      <w:color w:val="0563C1" w:themeColor="hyperlink"/>
      <w:u w:val="single"/>
    </w:rPr>
  </w:style>
  <w:style w:type="character" w:styleId="UnresolvedMention">
    <w:name w:val="Unresolved Mention"/>
    <w:basedOn w:val="DefaultParagraphFont"/>
    <w:uiPriority w:val="99"/>
    <w:semiHidden/>
    <w:unhideWhenUsed/>
    <w:rsid w:val="007D5EA6"/>
    <w:rPr>
      <w:color w:val="605E5C"/>
      <w:shd w:val="clear" w:color="auto" w:fill="E1DFDD"/>
    </w:rPr>
  </w:style>
  <w:style w:type="paragraph" w:styleId="Header">
    <w:name w:val="header"/>
    <w:basedOn w:val="Normal"/>
    <w:link w:val="HeaderChar"/>
    <w:uiPriority w:val="99"/>
    <w:unhideWhenUsed/>
    <w:rsid w:val="00955D7B"/>
    <w:pPr>
      <w:tabs>
        <w:tab w:val="center" w:pos="4680"/>
        <w:tab w:val="right" w:pos="9360"/>
      </w:tabs>
    </w:pPr>
    <w:rPr>
      <w:rFonts w:asciiTheme="minorHAnsi" w:eastAsiaTheme="minorHAnsi" w:hAnsiTheme="minorHAnsi" w:cstheme="minorBidi"/>
      <w:lang w:val="es-ES"/>
    </w:rPr>
  </w:style>
  <w:style w:type="character" w:customStyle="1" w:styleId="HeaderChar">
    <w:name w:val="Header Char"/>
    <w:basedOn w:val="DefaultParagraphFont"/>
    <w:link w:val="Header"/>
    <w:uiPriority w:val="99"/>
    <w:rsid w:val="00955D7B"/>
    <w:rPr>
      <w:lang w:val="es-ES"/>
    </w:rPr>
  </w:style>
  <w:style w:type="paragraph" w:styleId="Footer">
    <w:name w:val="footer"/>
    <w:basedOn w:val="Normal"/>
    <w:link w:val="FooterChar"/>
    <w:uiPriority w:val="99"/>
    <w:unhideWhenUsed/>
    <w:rsid w:val="00955D7B"/>
    <w:pPr>
      <w:tabs>
        <w:tab w:val="center" w:pos="4680"/>
        <w:tab w:val="right" w:pos="9360"/>
      </w:tabs>
    </w:pPr>
    <w:rPr>
      <w:rFonts w:asciiTheme="minorHAnsi" w:eastAsiaTheme="minorHAnsi" w:hAnsiTheme="minorHAnsi" w:cstheme="minorBidi"/>
      <w:lang w:val="es-ES"/>
    </w:rPr>
  </w:style>
  <w:style w:type="character" w:customStyle="1" w:styleId="FooterChar">
    <w:name w:val="Footer Char"/>
    <w:basedOn w:val="DefaultParagraphFont"/>
    <w:link w:val="Footer"/>
    <w:uiPriority w:val="99"/>
    <w:rsid w:val="00955D7B"/>
    <w:rPr>
      <w:lang w:val="es-ES"/>
    </w:rPr>
  </w:style>
  <w:style w:type="character" w:styleId="FollowedHyperlink">
    <w:name w:val="FollowedHyperlink"/>
    <w:basedOn w:val="DefaultParagraphFont"/>
    <w:uiPriority w:val="99"/>
    <w:semiHidden/>
    <w:unhideWhenUsed/>
    <w:rsid w:val="003B0BCB"/>
    <w:rPr>
      <w:color w:val="954F72" w:themeColor="followedHyperlink"/>
      <w:u w:val="single"/>
    </w:rPr>
  </w:style>
  <w:style w:type="character" w:customStyle="1" w:styleId="Heading1Char">
    <w:name w:val="Heading 1 Char"/>
    <w:basedOn w:val="DefaultParagraphFont"/>
    <w:link w:val="Heading1"/>
    <w:uiPriority w:val="9"/>
    <w:rsid w:val="00293F83"/>
    <w:rPr>
      <w:rFonts w:ascii="Times New Roman" w:eastAsia="Times New Roman" w:hAnsi="Times New Roman" w:cs="Times New Roman"/>
      <w:b/>
      <w:bCs/>
      <w:kern w:val="36"/>
      <w:sz w:val="48"/>
      <w:szCs w:val="48"/>
    </w:rPr>
  </w:style>
  <w:style w:type="character" w:customStyle="1" w:styleId="cosearchterm">
    <w:name w:val="co_searchterm"/>
    <w:basedOn w:val="DefaultParagraphFont"/>
    <w:rsid w:val="00423D86"/>
  </w:style>
  <w:style w:type="character" w:styleId="Emphasis">
    <w:name w:val="Emphasis"/>
    <w:basedOn w:val="DefaultParagraphFont"/>
    <w:uiPriority w:val="20"/>
    <w:qFormat/>
    <w:rsid w:val="00423D86"/>
    <w:rPr>
      <w:i/>
      <w:iCs/>
    </w:rPr>
  </w:style>
  <w:style w:type="character" w:styleId="CommentReference">
    <w:name w:val="annotation reference"/>
    <w:basedOn w:val="DefaultParagraphFont"/>
    <w:uiPriority w:val="99"/>
    <w:semiHidden/>
    <w:unhideWhenUsed/>
    <w:rsid w:val="00B079D9"/>
    <w:rPr>
      <w:sz w:val="16"/>
      <w:szCs w:val="16"/>
    </w:rPr>
  </w:style>
  <w:style w:type="paragraph" w:styleId="CommentText">
    <w:name w:val="annotation text"/>
    <w:basedOn w:val="Normal"/>
    <w:link w:val="CommentTextChar"/>
    <w:uiPriority w:val="99"/>
    <w:semiHidden/>
    <w:unhideWhenUsed/>
    <w:rsid w:val="00B079D9"/>
    <w:rPr>
      <w:sz w:val="20"/>
      <w:szCs w:val="20"/>
    </w:rPr>
  </w:style>
  <w:style w:type="character" w:customStyle="1" w:styleId="CommentTextChar">
    <w:name w:val="Comment Text Char"/>
    <w:basedOn w:val="DefaultParagraphFont"/>
    <w:link w:val="CommentText"/>
    <w:uiPriority w:val="99"/>
    <w:semiHidden/>
    <w:rsid w:val="00B079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79D9"/>
    <w:rPr>
      <w:b/>
      <w:bCs/>
    </w:rPr>
  </w:style>
  <w:style w:type="character" w:customStyle="1" w:styleId="CommentSubjectChar">
    <w:name w:val="Comment Subject Char"/>
    <w:basedOn w:val="CommentTextChar"/>
    <w:link w:val="CommentSubject"/>
    <w:uiPriority w:val="99"/>
    <w:semiHidden/>
    <w:rsid w:val="00B079D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38196">
      <w:bodyDiv w:val="1"/>
      <w:marLeft w:val="0"/>
      <w:marRight w:val="0"/>
      <w:marTop w:val="0"/>
      <w:marBottom w:val="0"/>
      <w:divBdr>
        <w:top w:val="none" w:sz="0" w:space="0" w:color="auto"/>
        <w:left w:val="none" w:sz="0" w:space="0" w:color="auto"/>
        <w:bottom w:val="none" w:sz="0" w:space="0" w:color="auto"/>
        <w:right w:val="none" w:sz="0" w:space="0" w:color="auto"/>
      </w:divBdr>
    </w:div>
    <w:div w:id="232550772">
      <w:bodyDiv w:val="1"/>
      <w:marLeft w:val="0"/>
      <w:marRight w:val="0"/>
      <w:marTop w:val="0"/>
      <w:marBottom w:val="0"/>
      <w:divBdr>
        <w:top w:val="none" w:sz="0" w:space="0" w:color="auto"/>
        <w:left w:val="none" w:sz="0" w:space="0" w:color="auto"/>
        <w:bottom w:val="none" w:sz="0" w:space="0" w:color="auto"/>
        <w:right w:val="none" w:sz="0" w:space="0" w:color="auto"/>
      </w:divBdr>
    </w:div>
    <w:div w:id="968167592">
      <w:bodyDiv w:val="1"/>
      <w:marLeft w:val="0"/>
      <w:marRight w:val="0"/>
      <w:marTop w:val="0"/>
      <w:marBottom w:val="0"/>
      <w:divBdr>
        <w:top w:val="none" w:sz="0" w:space="0" w:color="auto"/>
        <w:left w:val="none" w:sz="0" w:space="0" w:color="auto"/>
        <w:bottom w:val="none" w:sz="0" w:space="0" w:color="auto"/>
        <w:right w:val="none" w:sz="0" w:space="0" w:color="auto"/>
      </w:divBdr>
    </w:div>
    <w:div w:id="1242762872">
      <w:bodyDiv w:val="1"/>
      <w:marLeft w:val="0"/>
      <w:marRight w:val="0"/>
      <w:marTop w:val="0"/>
      <w:marBottom w:val="0"/>
      <w:divBdr>
        <w:top w:val="none" w:sz="0" w:space="0" w:color="auto"/>
        <w:left w:val="none" w:sz="0" w:space="0" w:color="auto"/>
        <w:bottom w:val="none" w:sz="0" w:space="0" w:color="auto"/>
        <w:right w:val="none" w:sz="0" w:space="0" w:color="auto"/>
      </w:divBdr>
    </w:div>
    <w:div w:id="1535725808">
      <w:bodyDiv w:val="1"/>
      <w:marLeft w:val="0"/>
      <w:marRight w:val="0"/>
      <w:marTop w:val="0"/>
      <w:marBottom w:val="0"/>
      <w:divBdr>
        <w:top w:val="none" w:sz="0" w:space="0" w:color="auto"/>
        <w:left w:val="none" w:sz="0" w:space="0" w:color="auto"/>
        <w:bottom w:val="none" w:sz="0" w:space="0" w:color="auto"/>
        <w:right w:val="none" w:sz="0" w:space="0" w:color="auto"/>
      </w:divBdr>
    </w:div>
    <w:div w:id="1594775054">
      <w:bodyDiv w:val="1"/>
      <w:marLeft w:val="0"/>
      <w:marRight w:val="0"/>
      <w:marTop w:val="0"/>
      <w:marBottom w:val="0"/>
      <w:divBdr>
        <w:top w:val="none" w:sz="0" w:space="0" w:color="auto"/>
        <w:left w:val="none" w:sz="0" w:space="0" w:color="auto"/>
        <w:bottom w:val="none" w:sz="0" w:space="0" w:color="auto"/>
        <w:right w:val="none" w:sz="0" w:space="0" w:color="auto"/>
      </w:divBdr>
    </w:div>
    <w:div w:id="169052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47170-2B9B-EC47-A33E-2100CE22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5</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 PEREZ MELENDEZ</dc:creator>
  <cp:keywords/>
  <dc:description/>
  <cp:lastModifiedBy>CARLA M PEREZ MELENDEZ</cp:lastModifiedBy>
  <cp:revision>6</cp:revision>
  <dcterms:created xsi:type="dcterms:W3CDTF">2021-06-24T05:21:00Z</dcterms:created>
  <dcterms:modified xsi:type="dcterms:W3CDTF">2021-07-07T22:27:00Z</dcterms:modified>
</cp:coreProperties>
</file>