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7AA9" w:rsidRDefault="00000000">
      <w:r>
        <w:rPr>
          <w:b/>
        </w:rPr>
        <w:t>Instrucciones</w:t>
      </w:r>
      <w:r>
        <w:t>:</w:t>
      </w:r>
    </w:p>
    <w:p w14:paraId="00000002" w14:textId="77777777" w:rsidR="00FF7AA9" w:rsidRDefault="00000000">
      <w:pPr>
        <w:ind w:firstLine="708"/>
        <w:jc w:val="both"/>
      </w:pPr>
      <w:r>
        <w:t xml:space="preserve">El examen de edición para los aspirantes al puesto de editor asociado consiste en las siguientes tres partes: 1) selección múltiple; 2) corrección de escrito, y 3) corrección de notas al calce. El aspirante podrá contestar el examen utilizando el </w:t>
      </w:r>
      <w:r>
        <w:rPr>
          <w:b/>
        </w:rPr>
        <w:t>Manual de Citación Uniforme (en adelante “el Manual”)</w:t>
      </w:r>
      <w:r>
        <w:t xml:space="preserve">. El Manual se puede conseguir en el siguiente enlace: </w:t>
      </w:r>
      <w:hyperlink r:id="rId6">
        <w:r>
          <w:rPr>
            <w:color w:val="1155CC"/>
            <w:u w:val="single"/>
          </w:rPr>
          <w:t>https://derecho.uprrp.edu/revistajuridica/nosotros/manual-de-citacion-uniforme/</w:t>
        </w:r>
      </w:hyperlink>
      <w:r>
        <w:t>.</w:t>
      </w:r>
    </w:p>
    <w:p w14:paraId="00000003" w14:textId="77777777" w:rsidR="00FF7AA9" w:rsidRDefault="00FF7AA9">
      <w:pPr>
        <w:ind w:firstLine="708"/>
        <w:jc w:val="both"/>
      </w:pPr>
    </w:p>
    <w:p w14:paraId="00000004" w14:textId="77777777" w:rsidR="00FF7AA9" w:rsidRDefault="00000000">
      <w:pPr>
        <w:rPr>
          <w:b/>
        </w:rPr>
      </w:pPr>
      <w:r>
        <w:rPr>
          <w:u w:val="single"/>
        </w:rPr>
        <w:t>Instrucciones Generales</w:t>
      </w:r>
      <w:r>
        <w:rPr>
          <w:b/>
        </w:rPr>
        <w:t>:</w:t>
      </w:r>
    </w:p>
    <w:p w14:paraId="00000005" w14:textId="77777777" w:rsidR="00FF7AA9" w:rsidRDefault="00000000">
      <w:pPr>
        <w:ind w:firstLine="708"/>
      </w:pPr>
      <w:r>
        <w:t xml:space="preserve">1. El examen se deberá trabajar en la plataforma de Microsoft Word exclusivamente. </w:t>
      </w:r>
    </w:p>
    <w:p w14:paraId="00000006" w14:textId="77777777" w:rsidR="00FF7AA9" w:rsidRDefault="00000000">
      <w:pPr>
        <w:ind w:firstLine="708"/>
      </w:pPr>
      <w:r>
        <w:t xml:space="preserve">2. El examen debe ser entregado en el formato de Microsoft Word, no como PDF. </w:t>
      </w:r>
    </w:p>
    <w:p w14:paraId="00000007" w14:textId="77777777" w:rsidR="00FF7AA9" w:rsidRDefault="00000000">
      <w:pPr>
        <w:ind w:left="708"/>
      </w:pPr>
      <w:r>
        <w:t xml:space="preserve">3. El mismo tiene que ser entitulado de la siguiente forma APELLIDO-EXAMEN, ejemplo: MENDEZRODRIGUEZ-EXAMEN.doc. </w:t>
      </w:r>
    </w:p>
    <w:p w14:paraId="00000008" w14:textId="77777777" w:rsidR="00FF7AA9" w:rsidRDefault="00000000">
      <w:pPr>
        <w:ind w:left="708"/>
        <w:rPr>
          <w:b/>
        </w:rPr>
      </w:pPr>
      <w:r>
        <w:t xml:space="preserve">4. Para ser considerado para el puesto, el aspirante </w:t>
      </w:r>
      <w:r>
        <w:rPr>
          <w:b/>
        </w:rPr>
        <w:t>debe completar</w:t>
      </w:r>
      <w:r>
        <w:t xml:space="preserve"> </w:t>
      </w:r>
      <w:r>
        <w:rPr>
          <w:b/>
        </w:rPr>
        <w:t xml:space="preserve">el examen en su totalidad y conforme a las instrucciones provistas. </w:t>
      </w:r>
    </w:p>
    <w:p w14:paraId="00000009" w14:textId="77777777" w:rsidR="00FF7AA9" w:rsidRDefault="00000000">
      <w:pPr>
        <w:ind w:left="708"/>
      </w:pPr>
      <w:r>
        <w:t xml:space="preserve">5. El aspirante deberá tomar el examen solo, sin la asistencia de otra persona, incluyendo otro aspirante. </w:t>
      </w:r>
    </w:p>
    <w:p w14:paraId="0000000A" w14:textId="77777777" w:rsidR="00FF7AA9" w:rsidRDefault="00000000">
      <w:pPr>
        <w:rPr>
          <w:b/>
        </w:rPr>
      </w:pPr>
      <w:r>
        <w:rPr>
          <w:b/>
        </w:rPr>
        <w:t>Primera Parte</w:t>
      </w:r>
    </w:p>
    <w:p w14:paraId="0000000B" w14:textId="77777777" w:rsidR="00FF7AA9" w:rsidRDefault="00000000">
      <w:r>
        <w:t>El candidato deberá escoger la respuesta correcta según el Manual. La selección se hará utilizando la funcion de highlight amarillo. Todas las preguntas están basadas en las reglas contenidas en el Manual.</w:t>
      </w:r>
    </w:p>
    <w:p w14:paraId="0000000C" w14:textId="77777777" w:rsidR="00FF7AA9" w:rsidRDefault="00000000">
      <w:pPr>
        <w:pBdr>
          <w:top w:val="nil"/>
          <w:left w:val="nil"/>
          <w:bottom w:val="nil"/>
          <w:right w:val="nil"/>
          <w:between w:val="nil"/>
        </w:pBdr>
        <w:spacing w:after="0"/>
        <w:rPr>
          <w:b/>
          <w:color w:val="000000"/>
        </w:rPr>
      </w:pPr>
      <w:r>
        <w:rPr>
          <w:b/>
        </w:rPr>
        <w:t xml:space="preserve">I. </w:t>
      </w:r>
      <w:r>
        <w:rPr>
          <w:b/>
          <w:color w:val="000000"/>
        </w:rPr>
        <w:t>Selección Múltiple</w:t>
      </w:r>
    </w:p>
    <w:p w14:paraId="0000000D" w14:textId="77777777" w:rsidR="00FF7AA9" w:rsidRDefault="00000000">
      <w:pPr>
        <w:numPr>
          <w:ilvl w:val="0"/>
          <w:numId w:val="1"/>
        </w:numPr>
        <w:pBdr>
          <w:top w:val="nil"/>
          <w:left w:val="nil"/>
          <w:bottom w:val="nil"/>
          <w:right w:val="nil"/>
          <w:between w:val="nil"/>
        </w:pBdr>
        <w:spacing w:after="0"/>
        <w:rPr>
          <w:color w:val="000000"/>
        </w:rPr>
      </w:pPr>
      <w:r>
        <w:rPr>
          <w:color w:val="000000"/>
        </w:rPr>
        <w:t>El título de un escrito irá en:</w:t>
      </w:r>
    </w:p>
    <w:p w14:paraId="0000000E" w14:textId="77777777" w:rsidR="00FF7AA9" w:rsidRDefault="00000000">
      <w:pPr>
        <w:numPr>
          <w:ilvl w:val="1"/>
          <w:numId w:val="1"/>
        </w:numPr>
        <w:pBdr>
          <w:top w:val="nil"/>
          <w:left w:val="nil"/>
          <w:bottom w:val="nil"/>
          <w:right w:val="nil"/>
          <w:between w:val="nil"/>
        </w:pBdr>
        <w:spacing w:after="0"/>
        <w:rPr>
          <w:color w:val="000000"/>
        </w:rPr>
      </w:pPr>
      <w:r>
        <w:rPr>
          <w:color w:val="000000"/>
        </w:rPr>
        <w:t>Mayúscula, tamaño 18 y centralizado</w:t>
      </w:r>
    </w:p>
    <w:p w14:paraId="0000000F" w14:textId="77777777" w:rsidR="00FF7AA9" w:rsidRDefault="00000000">
      <w:pPr>
        <w:numPr>
          <w:ilvl w:val="1"/>
          <w:numId w:val="1"/>
        </w:numPr>
        <w:pBdr>
          <w:top w:val="nil"/>
          <w:left w:val="nil"/>
          <w:bottom w:val="nil"/>
          <w:right w:val="nil"/>
          <w:between w:val="nil"/>
        </w:pBdr>
        <w:spacing w:after="0"/>
        <w:rPr>
          <w:color w:val="000000"/>
        </w:rPr>
      </w:pPr>
      <w:r>
        <w:rPr>
          <w:color w:val="000000"/>
        </w:rPr>
        <w:t>Mayúscula, centralizado y ennegrecido</w:t>
      </w:r>
    </w:p>
    <w:p w14:paraId="00000010" w14:textId="77777777" w:rsidR="00FF7AA9" w:rsidRDefault="00000000">
      <w:pPr>
        <w:numPr>
          <w:ilvl w:val="1"/>
          <w:numId w:val="1"/>
        </w:numPr>
        <w:pBdr>
          <w:top w:val="nil"/>
          <w:left w:val="nil"/>
          <w:bottom w:val="nil"/>
          <w:right w:val="nil"/>
          <w:between w:val="nil"/>
        </w:pBdr>
        <w:spacing w:after="0"/>
        <w:rPr>
          <w:color w:val="000000"/>
        </w:rPr>
      </w:pPr>
      <w:r>
        <w:rPr>
          <w:color w:val="000000"/>
        </w:rPr>
        <w:t>En versalitas, centralizado y ennegrecidos</w:t>
      </w:r>
    </w:p>
    <w:p w14:paraId="00000011" w14:textId="77777777" w:rsidR="00FF7AA9" w:rsidRDefault="00000000">
      <w:pPr>
        <w:numPr>
          <w:ilvl w:val="1"/>
          <w:numId w:val="1"/>
        </w:numPr>
        <w:pBdr>
          <w:top w:val="nil"/>
          <w:left w:val="nil"/>
          <w:bottom w:val="nil"/>
          <w:right w:val="nil"/>
          <w:between w:val="nil"/>
        </w:pBdr>
        <w:rPr>
          <w:color w:val="000000"/>
        </w:rPr>
      </w:pPr>
      <w:r>
        <w:rPr>
          <w:color w:val="000000"/>
        </w:rPr>
        <w:t>En versalitas, centralizado pero no ennegrecido</w:t>
      </w:r>
    </w:p>
    <w:p w14:paraId="00000012" w14:textId="77777777" w:rsidR="00FF7AA9" w:rsidRDefault="00000000">
      <w:pPr>
        <w:numPr>
          <w:ilvl w:val="0"/>
          <w:numId w:val="1"/>
        </w:numPr>
        <w:spacing w:after="0"/>
      </w:pPr>
      <w:r>
        <w:t>Si un escrito está escrito en español y se abrevia un caso del Tribunal de Apelaciones Federal:</w:t>
      </w:r>
    </w:p>
    <w:p w14:paraId="00000013" w14:textId="77777777" w:rsidR="00FF7AA9" w:rsidRDefault="00000000">
      <w:pPr>
        <w:numPr>
          <w:ilvl w:val="1"/>
          <w:numId w:val="1"/>
        </w:numPr>
        <w:spacing w:after="0"/>
      </w:pPr>
      <w:r>
        <w:t>Se deberá utilizar las reglas de abreviaturas correspondientes al inglés</w:t>
      </w:r>
    </w:p>
    <w:p w14:paraId="00000014" w14:textId="77777777" w:rsidR="00FF7AA9" w:rsidRDefault="00000000">
      <w:pPr>
        <w:numPr>
          <w:ilvl w:val="1"/>
          <w:numId w:val="1"/>
        </w:numPr>
      </w:pPr>
      <w:r>
        <w:t>Se deberá utilizar las reglas de abreviaturas correspondientes al español</w:t>
      </w:r>
    </w:p>
    <w:p w14:paraId="00000015" w14:textId="77777777" w:rsidR="00FF7AA9" w:rsidRDefault="00000000">
      <w:pPr>
        <w:numPr>
          <w:ilvl w:val="0"/>
          <w:numId w:val="1"/>
        </w:numPr>
        <w:pBdr>
          <w:top w:val="nil"/>
          <w:left w:val="nil"/>
          <w:bottom w:val="nil"/>
          <w:right w:val="nil"/>
          <w:between w:val="nil"/>
        </w:pBdr>
        <w:spacing w:after="0"/>
        <w:rPr>
          <w:color w:val="000000"/>
        </w:rPr>
      </w:pPr>
      <w:r>
        <w:rPr>
          <w:color w:val="000000"/>
        </w:rPr>
        <w:t>Cuando el nombre de un caso cumple con una función gramatical dentro de la oración y no sea una cita, debe ir en:</w:t>
      </w:r>
    </w:p>
    <w:p w14:paraId="00000016" w14:textId="77777777" w:rsidR="00FF7AA9" w:rsidRDefault="00000000">
      <w:pPr>
        <w:numPr>
          <w:ilvl w:val="1"/>
          <w:numId w:val="1"/>
        </w:numPr>
        <w:pBdr>
          <w:top w:val="nil"/>
          <w:left w:val="nil"/>
          <w:bottom w:val="nil"/>
          <w:right w:val="nil"/>
          <w:between w:val="nil"/>
        </w:pBdr>
        <w:spacing w:after="0"/>
        <w:rPr>
          <w:color w:val="000000"/>
        </w:rPr>
      </w:pPr>
      <w:r>
        <w:rPr>
          <w:color w:val="000000"/>
        </w:rPr>
        <w:t>Comillas</w:t>
      </w:r>
    </w:p>
    <w:p w14:paraId="00000017" w14:textId="77777777" w:rsidR="00FF7AA9" w:rsidRDefault="00000000">
      <w:pPr>
        <w:numPr>
          <w:ilvl w:val="1"/>
          <w:numId w:val="1"/>
        </w:numPr>
        <w:pBdr>
          <w:top w:val="nil"/>
          <w:left w:val="nil"/>
          <w:bottom w:val="nil"/>
          <w:right w:val="nil"/>
          <w:between w:val="nil"/>
        </w:pBdr>
        <w:spacing w:after="0"/>
        <w:rPr>
          <w:color w:val="000000"/>
        </w:rPr>
      </w:pPr>
      <w:r>
        <w:rPr>
          <w:color w:val="000000"/>
        </w:rPr>
        <w:t>Negritas (bold)</w:t>
      </w:r>
    </w:p>
    <w:p w14:paraId="00000018" w14:textId="77777777" w:rsidR="00FF7AA9" w:rsidRDefault="00000000">
      <w:pPr>
        <w:numPr>
          <w:ilvl w:val="1"/>
          <w:numId w:val="1"/>
        </w:numPr>
        <w:pBdr>
          <w:top w:val="nil"/>
          <w:left w:val="nil"/>
          <w:bottom w:val="nil"/>
          <w:right w:val="nil"/>
          <w:between w:val="nil"/>
        </w:pBdr>
        <w:spacing w:after="0"/>
        <w:rPr>
          <w:color w:val="000000"/>
        </w:rPr>
      </w:pPr>
      <w:r>
        <w:rPr>
          <w:color w:val="000000"/>
        </w:rPr>
        <w:t>Bastardillas</w:t>
      </w:r>
    </w:p>
    <w:p w14:paraId="00000019" w14:textId="77777777" w:rsidR="00FF7AA9" w:rsidRDefault="00000000">
      <w:pPr>
        <w:numPr>
          <w:ilvl w:val="1"/>
          <w:numId w:val="1"/>
        </w:numPr>
        <w:pBdr>
          <w:top w:val="nil"/>
          <w:left w:val="nil"/>
          <w:bottom w:val="nil"/>
          <w:right w:val="nil"/>
          <w:between w:val="nil"/>
        </w:pBdr>
        <w:spacing w:after="0"/>
        <w:rPr>
          <w:color w:val="000000"/>
        </w:rPr>
      </w:pPr>
      <w:r>
        <w:rPr>
          <w:color w:val="000000"/>
        </w:rPr>
        <w:t>Versalitas</w:t>
      </w:r>
    </w:p>
    <w:p w14:paraId="0000001A" w14:textId="77777777" w:rsidR="00FF7AA9" w:rsidRDefault="00000000">
      <w:pPr>
        <w:numPr>
          <w:ilvl w:val="0"/>
          <w:numId w:val="1"/>
        </w:numPr>
        <w:pBdr>
          <w:top w:val="nil"/>
          <w:left w:val="nil"/>
          <w:bottom w:val="nil"/>
          <w:right w:val="nil"/>
          <w:between w:val="nil"/>
        </w:pBdr>
        <w:spacing w:after="0"/>
        <w:rPr>
          <w:color w:val="000000"/>
        </w:rPr>
      </w:pPr>
      <w:r>
        <w:rPr>
          <w:color w:val="000000"/>
        </w:rPr>
        <w:t xml:space="preserve">Cuando el título de </w:t>
      </w:r>
      <w:r>
        <w:rPr>
          <w:i/>
          <w:color w:val="000000"/>
        </w:rPr>
        <w:t xml:space="preserve">Juez </w:t>
      </w:r>
      <w:r>
        <w:rPr>
          <w:color w:val="000000"/>
        </w:rPr>
        <w:t xml:space="preserve">o </w:t>
      </w:r>
      <w:r>
        <w:rPr>
          <w:i/>
          <w:color w:val="000000"/>
        </w:rPr>
        <w:t xml:space="preserve">Jueza </w:t>
      </w:r>
      <w:r>
        <w:rPr>
          <w:color w:val="000000"/>
        </w:rPr>
        <w:t>se utilice acompañado por su nombre irá en:</w:t>
      </w:r>
    </w:p>
    <w:p w14:paraId="0000001B" w14:textId="77777777" w:rsidR="00FF7AA9" w:rsidRDefault="00000000">
      <w:pPr>
        <w:numPr>
          <w:ilvl w:val="1"/>
          <w:numId w:val="1"/>
        </w:numPr>
        <w:pBdr>
          <w:top w:val="nil"/>
          <w:left w:val="nil"/>
          <w:bottom w:val="nil"/>
          <w:right w:val="nil"/>
          <w:between w:val="nil"/>
        </w:pBdr>
        <w:spacing w:after="0"/>
        <w:rPr>
          <w:color w:val="000000"/>
        </w:rPr>
      </w:pPr>
      <w:r>
        <w:rPr>
          <w:color w:val="000000"/>
        </w:rPr>
        <w:t>Mayúscula</w:t>
      </w:r>
    </w:p>
    <w:p w14:paraId="0000001C" w14:textId="77777777" w:rsidR="00FF7AA9" w:rsidRDefault="00000000">
      <w:pPr>
        <w:numPr>
          <w:ilvl w:val="1"/>
          <w:numId w:val="1"/>
        </w:numPr>
        <w:pBdr>
          <w:top w:val="nil"/>
          <w:left w:val="nil"/>
          <w:bottom w:val="nil"/>
          <w:right w:val="nil"/>
          <w:between w:val="nil"/>
        </w:pBdr>
        <w:spacing w:after="0"/>
        <w:rPr>
          <w:color w:val="000000"/>
        </w:rPr>
      </w:pPr>
      <w:r>
        <w:rPr>
          <w:color w:val="000000"/>
        </w:rPr>
        <w:t>Minúscula</w:t>
      </w:r>
    </w:p>
    <w:p w14:paraId="0000001D" w14:textId="77777777" w:rsidR="00FF7AA9" w:rsidRDefault="00000000">
      <w:pPr>
        <w:numPr>
          <w:ilvl w:val="0"/>
          <w:numId w:val="1"/>
        </w:numPr>
        <w:pBdr>
          <w:top w:val="nil"/>
          <w:left w:val="nil"/>
          <w:bottom w:val="nil"/>
          <w:right w:val="nil"/>
          <w:between w:val="nil"/>
        </w:pBdr>
        <w:spacing w:after="0"/>
        <w:rPr>
          <w:color w:val="000000"/>
        </w:rPr>
      </w:pPr>
      <w:r>
        <w:rPr>
          <w:color w:val="000000"/>
        </w:rPr>
        <w:lastRenderedPageBreak/>
        <w:t>La abreviatura correcta de la Revista Jurídica de la Universidad de Puerto Rico es:</w:t>
      </w:r>
    </w:p>
    <w:p w14:paraId="0000001E" w14:textId="77777777" w:rsidR="00FF7AA9" w:rsidRDefault="00000000">
      <w:pPr>
        <w:numPr>
          <w:ilvl w:val="1"/>
          <w:numId w:val="1"/>
        </w:numPr>
        <w:pBdr>
          <w:top w:val="nil"/>
          <w:left w:val="nil"/>
          <w:bottom w:val="nil"/>
          <w:right w:val="nil"/>
          <w:between w:val="nil"/>
        </w:pBdr>
        <w:spacing w:after="0"/>
        <w:rPr>
          <w:color w:val="000000"/>
        </w:rPr>
      </w:pPr>
      <w:r>
        <w:rPr>
          <w:smallCaps/>
          <w:color w:val="000000"/>
        </w:rPr>
        <w:t>Rev. Jur</w:t>
      </w:r>
      <w:r>
        <w:rPr>
          <w:color w:val="000000"/>
        </w:rPr>
        <w:t>. UPR</w:t>
      </w:r>
    </w:p>
    <w:p w14:paraId="0000001F" w14:textId="77777777" w:rsidR="00FF7AA9" w:rsidRDefault="00000000">
      <w:pPr>
        <w:numPr>
          <w:ilvl w:val="1"/>
          <w:numId w:val="1"/>
        </w:numPr>
        <w:pBdr>
          <w:top w:val="nil"/>
          <w:left w:val="nil"/>
          <w:bottom w:val="nil"/>
          <w:right w:val="nil"/>
          <w:between w:val="nil"/>
        </w:pBdr>
        <w:spacing w:after="0"/>
        <w:rPr>
          <w:color w:val="000000"/>
        </w:rPr>
      </w:pPr>
      <w:r>
        <w:rPr>
          <w:color w:val="000000"/>
        </w:rPr>
        <w:t>Rev. Jur. UPR.</w:t>
      </w:r>
    </w:p>
    <w:p w14:paraId="00000020" w14:textId="77777777" w:rsidR="00FF7AA9" w:rsidRDefault="00000000">
      <w:pPr>
        <w:numPr>
          <w:ilvl w:val="1"/>
          <w:numId w:val="1"/>
        </w:numPr>
        <w:pBdr>
          <w:top w:val="nil"/>
          <w:left w:val="nil"/>
          <w:bottom w:val="nil"/>
          <w:right w:val="nil"/>
          <w:between w:val="nil"/>
        </w:pBdr>
        <w:spacing w:after="0"/>
        <w:rPr>
          <w:color w:val="000000"/>
        </w:rPr>
      </w:pPr>
      <w:r>
        <w:rPr>
          <w:smallCaps/>
          <w:color w:val="000000"/>
        </w:rPr>
        <w:t>REV JUR</w:t>
      </w:r>
      <w:r>
        <w:rPr>
          <w:color w:val="000000"/>
        </w:rPr>
        <w:t xml:space="preserve"> UPR</w:t>
      </w:r>
    </w:p>
    <w:p w14:paraId="00000021" w14:textId="77777777" w:rsidR="00FF7AA9" w:rsidRDefault="00000000">
      <w:pPr>
        <w:numPr>
          <w:ilvl w:val="1"/>
          <w:numId w:val="1"/>
        </w:numPr>
        <w:pBdr>
          <w:top w:val="nil"/>
          <w:left w:val="nil"/>
          <w:bottom w:val="nil"/>
          <w:right w:val="nil"/>
          <w:between w:val="nil"/>
        </w:pBdr>
        <w:spacing w:after="0"/>
        <w:rPr>
          <w:color w:val="000000"/>
        </w:rPr>
      </w:pPr>
      <w:r>
        <w:rPr>
          <w:color w:val="000000"/>
        </w:rPr>
        <w:t>Rev. Jur. de la UPR</w:t>
      </w:r>
    </w:p>
    <w:p w14:paraId="00000022" w14:textId="77777777" w:rsidR="00FF7AA9" w:rsidRDefault="00000000">
      <w:pPr>
        <w:numPr>
          <w:ilvl w:val="1"/>
          <w:numId w:val="1"/>
        </w:numPr>
        <w:pBdr>
          <w:top w:val="nil"/>
          <w:left w:val="nil"/>
          <w:bottom w:val="nil"/>
          <w:right w:val="nil"/>
          <w:between w:val="nil"/>
        </w:pBdr>
        <w:spacing w:after="0"/>
        <w:rPr>
          <w:color w:val="000000"/>
        </w:rPr>
      </w:pPr>
      <w:r>
        <w:rPr>
          <w:smallCaps/>
          <w:color w:val="000000"/>
        </w:rPr>
        <w:t xml:space="preserve">Rev. Jur. </w:t>
      </w:r>
      <w:r>
        <w:rPr>
          <w:color w:val="000000"/>
        </w:rPr>
        <w:t>de la UPR</w:t>
      </w:r>
    </w:p>
    <w:p w14:paraId="00000023" w14:textId="77777777" w:rsidR="00FF7AA9" w:rsidRDefault="00000000">
      <w:pPr>
        <w:numPr>
          <w:ilvl w:val="0"/>
          <w:numId w:val="1"/>
        </w:numPr>
        <w:pBdr>
          <w:top w:val="nil"/>
          <w:left w:val="nil"/>
          <w:bottom w:val="nil"/>
          <w:right w:val="nil"/>
          <w:between w:val="nil"/>
        </w:pBdr>
        <w:spacing w:after="0"/>
        <w:rPr>
          <w:color w:val="000000"/>
        </w:rPr>
      </w:pPr>
      <w:r>
        <w:rPr>
          <w:color w:val="000000"/>
        </w:rPr>
        <w:t>Si el escrito es en español, el punto final de una oración en la cual se utiliza una cita directa va:</w:t>
      </w:r>
    </w:p>
    <w:p w14:paraId="00000024" w14:textId="77777777" w:rsidR="00FF7AA9" w:rsidRDefault="00000000">
      <w:pPr>
        <w:numPr>
          <w:ilvl w:val="1"/>
          <w:numId w:val="1"/>
        </w:numPr>
        <w:pBdr>
          <w:top w:val="nil"/>
          <w:left w:val="nil"/>
          <w:bottom w:val="nil"/>
          <w:right w:val="nil"/>
          <w:between w:val="nil"/>
        </w:pBdr>
        <w:spacing w:after="0"/>
        <w:rPr>
          <w:color w:val="000000"/>
        </w:rPr>
      </w:pPr>
      <w:r>
        <w:rPr>
          <w:color w:val="000000"/>
        </w:rPr>
        <w:t>Fuera de las comillas</w:t>
      </w:r>
    </w:p>
    <w:p w14:paraId="00000025" w14:textId="77777777" w:rsidR="00FF7AA9" w:rsidRDefault="00000000">
      <w:pPr>
        <w:numPr>
          <w:ilvl w:val="1"/>
          <w:numId w:val="1"/>
        </w:numPr>
        <w:pBdr>
          <w:top w:val="nil"/>
          <w:left w:val="nil"/>
          <w:bottom w:val="nil"/>
          <w:right w:val="nil"/>
          <w:between w:val="nil"/>
        </w:pBdr>
        <w:spacing w:after="0"/>
        <w:rPr>
          <w:color w:val="000000"/>
        </w:rPr>
      </w:pPr>
      <w:r>
        <w:rPr>
          <w:color w:val="000000"/>
        </w:rPr>
        <w:t>Dentro de las comillas</w:t>
      </w:r>
    </w:p>
    <w:p w14:paraId="00000026" w14:textId="77777777" w:rsidR="00FF7AA9" w:rsidRDefault="00000000">
      <w:pPr>
        <w:numPr>
          <w:ilvl w:val="0"/>
          <w:numId w:val="1"/>
        </w:numPr>
        <w:pBdr>
          <w:top w:val="nil"/>
          <w:left w:val="nil"/>
          <w:bottom w:val="nil"/>
          <w:right w:val="nil"/>
          <w:between w:val="nil"/>
        </w:pBdr>
        <w:spacing w:after="0"/>
        <w:rPr>
          <w:color w:val="000000"/>
        </w:rPr>
      </w:pPr>
      <w:r>
        <w:rPr>
          <w:color w:val="000000"/>
        </w:rPr>
        <w:t xml:space="preserve">La abreviatura </w:t>
      </w:r>
      <w:r>
        <w:rPr>
          <w:i/>
          <w:color w:val="000000"/>
        </w:rPr>
        <w:t xml:space="preserve">Srta. </w:t>
      </w:r>
      <w:r>
        <w:rPr>
          <w:color w:val="000000"/>
        </w:rPr>
        <w:t>se utilizará:</w:t>
      </w:r>
    </w:p>
    <w:p w14:paraId="00000027" w14:textId="77777777" w:rsidR="00FF7AA9" w:rsidRDefault="00000000">
      <w:pPr>
        <w:numPr>
          <w:ilvl w:val="1"/>
          <w:numId w:val="1"/>
        </w:numPr>
        <w:pBdr>
          <w:top w:val="nil"/>
          <w:left w:val="nil"/>
          <w:bottom w:val="nil"/>
          <w:right w:val="nil"/>
          <w:between w:val="nil"/>
        </w:pBdr>
        <w:spacing w:after="0"/>
        <w:rPr>
          <w:color w:val="000000"/>
        </w:rPr>
      </w:pPr>
      <w:r>
        <w:rPr>
          <w:color w:val="000000"/>
        </w:rPr>
        <w:t>Cuando se hace referencia a una mujer no casada</w:t>
      </w:r>
    </w:p>
    <w:p w14:paraId="00000028" w14:textId="77777777" w:rsidR="00FF7AA9" w:rsidRDefault="00000000">
      <w:pPr>
        <w:numPr>
          <w:ilvl w:val="1"/>
          <w:numId w:val="1"/>
        </w:numPr>
        <w:pBdr>
          <w:top w:val="nil"/>
          <w:left w:val="nil"/>
          <w:bottom w:val="nil"/>
          <w:right w:val="nil"/>
          <w:between w:val="nil"/>
        </w:pBdr>
        <w:spacing w:after="0"/>
        <w:rPr>
          <w:color w:val="000000"/>
        </w:rPr>
      </w:pPr>
      <w:r>
        <w:rPr>
          <w:color w:val="000000"/>
        </w:rPr>
        <w:t>Cuando se hace referencia a una mujer casada</w:t>
      </w:r>
    </w:p>
    <w:p w14:paraId="00000029" w14:textId="77777777" w:rsidR="00FF7AA9" w:rsidRDefault="00000000">
      <w:pPr>
        <w:numPr>
          <w:ilvl w:val="1"/>
          <w:numId w:val="1"/>
        </w:numPr>
        <w:pBdr>
          <w:top w:val="nil"/>
          <w:left w:val="nil"/>
          <w:bottom w:val="nil"/>
          <w:right w:val="nil"/>
          <w:between w:val="nil"/>
        </w:pBdr>
        <w:spacing w:after="0"/>
        <w:rPr>
          <w:color w:val="000000"/>
        </w:rPr>
      </w:pPr>
      <w:r>
        <w:rPr>
          <w:color w:val="000000"/>
        </w:rPr>
        <w:t>Cuando se hace referencia a una mujer menor de edad</w:t>
      </w:r>
    </w:p>
    <w:p w14:paraId="0000002A" w14:textId="77777777" w:rsidR="00FF7AA9" w:rsidRDefault="00000000">
      <w:pPr>
        <w:numPr>
          <w:ilvl w:val="1"/>
          <w:numId w:val="1"/>
        </w:numPr>
        <w:pBdr>
          <w:top w:val="nil"/>
          <w:left w:val="nil"/>
          <w:bottom w:val="nil"/>
          <w:right w:val="nil"/>
          <w:between w:val="nil"/>
        </w:pBdr>
        <w:spacing w:after="0"/>
        <w:rPr>
          <w:color w:val="000000"/>
        </w:rPr>
      </w:pPr>
      <w:r>
        <w:rPr>
          <w:color w:val="000000"/>
        </w:rPr>
        <w:t>Nunca</w:t>
      </w:r>
    </w:p>
    <w:p w14:paraId="0000002B" w14:textId="77777777" w:rsidR="00FF7AA9" w:rsidRDefault="00000000">
      <w:pPr>
        <w:numPr>
          <w:ilvl w:val="0"/>
          <w:numId w:val="1"/>
        </w:numPr>
        <w:pBdr>
          <w:top w:val="nil"/>
          <w:left w:val="nil"/>
          <w:bottom w:val="nil"/>
          <w:right w:val="nil"/>
          <w:between w:val="nil"/>
        </w:pBdr>
        <w:spacing w:after="0"/>
        <w:rPr>
          <w:color w:val="000000"/>
        </w:rPr>
      </w:pPr>
      <w:r>
        <w:rPr>
          <w:color w:val="000000"/>
        </w:rPr>
        <w:t xml:space="preserve">En </w:t>
      </w:r>
      <w:r>
        <w:t>cuáles</w:t>
      </w:r>
      <w:r>
        <w:rPr>
          <w:color w:val="000000"/>
        </w:rPr>
        <w:t xml:space="preserve"> de las siguientes situaciones se usan tres puntos suspensivos (. . .) para denotar una omisión:</w:t>
      </w:r>
    </w:p>
    <w:p w14:paraId="0000002C" w14:textId="77777777" w:rsidR="00FF7AA9" w:rsidRDefault="00000000">
      <w:pPr>
        <w:numPr>
          <w:ilvl w:val="1"/>
          <w:numId w:val="1"/>
        </w:numPr>
        <w:pBdr>
          <w:top w:val="nil"/>
          <w:left w:val="nil"/>
          <w:bottom w:val="nil"/>
          <w:right w:val="nil"/>
          <w:between w:val="nil"/>
        </w:pBdr>
        <w:spacing w:after="0"/>
        <w:rPr>
          <w:color w:val="000000"/>
        </w:rPr>
      </w:pPr>
      <w:r>
        <w:rPr>
          <w:color w:val="000000"/>
        </w:rPr>
        <w:t>Cuando la omisión ocurre antes de empezar la cita</w:t>
      </w:r>
    </w:p>
    <w:p w14:paraId="0000002D" w14:textId="77777777" w:rsidR="00FF7AA9" w:rsidRDefault="00000000">
      <w:pPr>
        <w:numPr>
          <w:ilvl w:val="1"/>
          <w:numId w:val="1"/>
        </w:numPr>
        <w:pBdr>
          <w:top w:val="nil"/>
          <w:left w:val="nil"/>
          <w:bottom w:val="nil"/>
          <w:right w:val="nil"/>
          <w:between w:val="nil"/>
        </w:pBdr>
        <w:spacing w:after="0"/>
        <w:rPr>
          <w:color w:val="000000"/>
        </w:rPr>
      </w:pPr>
      <w:r>
        <w:rPr>
          <w:color w:val="000000"/>
        </w:rPr>
        <w:t>Cuando se omite una frase en medio de la oración</w:t>
      </w:r>
    </w:p>
    <w:p w14:paraId="0000002E" w14:textId="77777777" w:rsidR="00FF7AA9" w:rsidRDefault="00000000">
      <w:pPr>
        <w:numPr>
          <w:ilvl w:val="1"/>
          <w:numId w:val="1"/>
        </w:numPr>
        <w:pBdr>
          <w:top w:val="nil"/>
          <w:left w:val="nil"/>
          <w:bottom w:val="nil"/>
          <w:right w:val="nil"/>
          <w:between w:val="nil"/>
        </w:pBdr>
        <w:spacing w:after="0"/>
        <w:rPr>
          <w:color w:val="000000"/>
        </w:rPr>
      </w:pPr>
      <w:r>
        <w:rPr>
          <w:color w:val="000000"/>
        </w:rPr>
        <w:t>Cuando se omite el principio de una oración</w:t>
      </w:r>
    </w:p>
    <w:p w14:paraId="0000002F" w14:textId="77777777" w:rsidR="00FF7AA9" w:rsidRDefault="00000000">
      <w:pPr>
        <w:numPr>
          <w:ilvl w:val="1"/>
          <w:numId w:val="1"/>
        </w:numPr>
        <w:pBdr>
          <w:top w:val="nil"/>
          <w:left w:val="nil"/>
          <w:bottom w:val="nil"/>
          <w:right w:val="nil"/>
          <w:between w:val="nil"/>
        </w:pBdr>
        <w:spacing w:after="0"/>
        <w:rPr>
          <w:color w:val="000000"/>
        </w:rPr>
      </w:pPr>
      <w:r>
        <w:rPr>
          <w:color w:val="000000"/>
        </w:rPr>
        <w:t>Cuando se omite un párrafo completamente</w:t>
      </w:r>
    </w:p>
    <w:p w14:paraId="00000030" w14:textId="77777777" w:rsidR="00FF7AA9" w:rsidRDefault="00000000">
      <w:pPr>
        <w:numPr>
          <w:ilvl w:val="0"/>
          <w:numId w:val="1"/>
        </w:numPr>
        <w:pBdr>
          <w:top w:val="nil"/>
          <w:left w:val="nil"/>
          <w:bottom w:val="nil"/>
          <w:right w:val="nil"/>
          <w:between w:val="nil"/>
        </w:pBdr>
        <w:spacing w:after="0"/>
        <w:rPr>
          <w:color w:val="000000"/>
        </w:rPr>
      </w:pPr>
      <w:r>
        <w:rPr>
          <w:color w:val="000000"/>
        </w:rPr>
        <w:t>Para las fuentes en español, las abreviaturas en siglas serán:</w:t>
      </w:r>
    </w:p>
    <w:p w14:paraId="00000031" w14:textId="77777777" w:rsidR="00FF7AA9" w:rsidRDefault="00000000">
      <w:pPr>
        <w:numPr>
          <w:ilvl w:val="1"/>
          <w:numId w:val="1"/>
        </w:numPr>
        <w:pBdr>
          <w:top w:val="nil"/>
          <w:left w:val="nil"/>
          <w:bottom w:val="nil"/>
          <w:right w:val="nil"/>
          <w:between w:val="nil"/>
        </w:pBdr>
        <w:spacing w:after="0"/>
        <w:rPr>
          <w:color w:val="000000"/>
        </w:rPr>
      </w:pPr>
      <w:r>
        <w:rPr>
          <w:color w:val="000000"/>
        </w:rPr>
        <w:t>En mayúscula y no llevarán punto o espacio entre estas</w:t>
      </w:r>
    </w:p>
    <w:p w14:paraId="00000032" w14:textId="77777777" w:rsidR="00FF7AA9" w:rsidRDefault="00000000">
      <w:pPr>
        <w:numPr>
          <w:ilvl w:val="1"/>
          <w:numId w:val="1"/>
        </w:numPr>
        <w:pBdr>
          <w:top w:val="nil"/>
          <w:left w:val="nil"/>
          <w:bottom w:val="nil"/>
          <w:right w:val="nil"/>
          <w:between w:val="nil"/>
        </w:pBdr>
        <w:spacing w:after="0"/>
        <w:rPr>
          <w:color w:val="000000"/>
        </w:rPr>
      </w:pPr>
      <w:r>
        <w:rPr>
          <w:color w:val="000000"/>
        </w:rPr>
        <w:t>En mayúscula, con punto después de cada inicial</w:t>
      </w:r>
    </w:p>
    <w:p w14:paraId="00000033" w14:textId="77777777" w:rsidR="00FF7AA9" w:rsidRDefault="00000000">
      <w:pPr>
        <w:numPr>
          <w:ilvl w:val="1"/>
          <w:numId w:val="1"/>
        </w:numPr>
        <w:pBdr>
          <w:top w:val="nil"/>
          <w:left w:val="nil"/>
          <w:bottom w:val="nil"/>
          <w:right w:val="nil"/>
          <w:between w:val="nil"/>
        </w:pBdr>
        <w:spacing w:after="0"/>
        <w:rPr>
          <w:color w:val="000000"/>
        </w:rPr>
      </w:pPr>
      <w:r>
        <w:rPr>
          <w:color w:val="000000"/>
        </w:rPr>
        <w:t>En minúscula y no llevarán punto o espacio entre estas</w:t>
      </w:r>
    </w:p>
    <w:p w14:paraId="00000034" w14:textId="77777777" w:rsidR="00FF7AA9" w:rsidRDefault="00000000">
      <w:pPr>
        <w:numPr>
          <w:ilvl w:val="1"/>
          <w:numId w:val="1"/>
        </w:numPr>
        <w:pBdr>
          <w:top w:val="nil"/>
          <w:left w:val="nil"/>
          <w:bottom w:val="nil"/>
          <w:right w:val="nil"/>
          <w:between w:val="nil"/>
        </w:pBdr>
        <w:spacing w:after="0"/>
        <w:rPr>
          <w:color w:val="000000"/>
        </w:rPr>
      </w:pPr>
      <w:r>
        <w:rPr>
          <w:color w:val="000000"/>
        </w:rPr>
        <w:t>En minúscula, con punto después de cada inicial</w:t>
      </w:r>
    </w:p>
    <w:p w14:paraId="00000035" w14:textId="77777777" w:rsidR="00FF7AA9" w:rsidRDefault="00000000">
      <w:pPr>
        <w:numPr>
          <w:ilvl w:val="0"/>
          <w:numId w:val="1"/>
        </w:numPr>
        <w:pBdr>
          <w:top w:val="nil"/>
          <w:left w:val="nil"/>
          <w:bottom w:val="nil"/>
          <w:right w:val="nil"/>
          <w:between w:val="nil"/>
        </w:pBdr>
        <w:spacing w:after="0"/>
        <w:rPr>
          <w:color w:val="000000"/>
        </w:rPr>
      </w:pPr>
      <w:r>
        <w:rPr>
          <w:color w:val="000000"/>
        </w:rPr>
        <w:t>La forma correcta de escribir un número mayor de noventa y nueve es:</w:t>
      </w:r>
    </w:p>
    <w:p w14:paraId="00000036" w14:textId="77777777" w:rsidR="00FF7AA9" w:rsidRDefault="00000000">
      <w:pPr>
        <w:numPr>
          <w:ilvl w:val="1"/>
          <w:numId w:val="1"/>
        </w:numPr>
        <w:pBdr>
          <w:top w:val="nil"/>
          <w:left w:val="nil"/>
          <w:bottom w:val="nil"/>
          <w:right w:val="nil"/>
          <w:between w:val="nil"/>
        </w:pBdr>
        <w:spacing w:after="0"/>
        <w:rPr>
          <w:color w:val="000000"/>
        </w:rPr>
      </w:pPr>
      <w:r>
        <w:rPr>
          <w:color w:val="000000"/>
        </w:rPr>
        <w:t>En palabras</w:t>
      </w:r>
    </w:p>
    <w:p w14:paraId="00000037" w14:textId="77777777" w:rsidR="00FF7AA9" w:rsidRDefault="00000000">
      <w:pPr>
        <w:numPr>
          <w:ilvl w:val="1"/>
          <w:numId w:val="1"/>
        </w:numPr>
        <w:pBdr>
          <w:top w:val="nil"/>
          <w:left w:val="nil"/>
          <w:bottom w:val="nil"/>
          <w:right w:val="nil"/>
          <w:between w:val="nil"/>
        </w:pBdr>
        <w:spacing w:after="0"/>
        <w:rPr>
          <w:color w:val="000000"/>
        </w:rPr>
      </w:pPr>
      <w:r>
        <w:rPr>
          <w:color w:val="000000"/>
        </w:rPr>
        <w:t>En cifras</w:t>
      </w:r>
    </w:p>
    <w:p w14:paraId="00000038" w14:textId="77777777" w:rsidR="00FF7AA9" w:rsidRDefault="00000000">
      <w:pPr>
        <w:numPr>
          <w:ilvl w:val="1"/>
          <w:numId w:val="1"/>
        </w:numPr>
        <w:pBdr>
          <w:top w:val="nil"/>
          <w:left w:val="nil"/>
          <w:bottom w:val="nil"/>
          <w:right w:val="nil"/>
          <w:between w:val="nil"/>
        </w:pBdr>
        <w:spacing w:after="0"/>
        <w:rPr>
          <w:color w:val="000000"/>
        </w:rPr>
      </w:pPr>
      <w:r>
        <w:rPr>
          <w:color w:val="000000"/>
        </w:rPr>
        <w:t>En palabra y seguido de la cifra en paréntesis</w:t>
      </w:r>
    </w:p>
    <w:p w14:paraId="00000039" w14:textId="77777777" w:rsidR="00FF7AA9" w:rsidRDefault="00000000">
      <w:pPr>
        <w:numPr>
          <w:ilvl w:val="1"/>
          <w:numId w:val="1"/>
        </w:numPr>
        <w:pBdr>
          <w:top w:val="nil"/>
          <w:left w:val="nil"/>
          <w:bottom w:val="nil"/>
          <w:right w:val="nil"/>
          <w:between w:val="nil"/>
        </w:pBdr>
        <w:spacing w:after="0"/>
        <w:rPr>
          <w:color w:val="000000"/>
        </w:rPr>
      </w:pPr>
      <w:r>
        <w:rPr>
          <w:color w:val="000000"/>
        </w:rPr>
        <w:t>En cifras y seguido de la palabra en paréntesis</w:t>
      </w:r>
    </w:p>
    <w:p w14:paraId="0000003A" w14:textId="77777777" w:rsidR="00FF7AA9" w:rsidRDefault="00000000">
      <w:pPr>
        <w:numPr>
          <w:ilvl w:val="1"/>
          <w:numId w:val="1"/>
        </w:numPr>
        <w:pBdr>
          <w:top w:val="nil"/>
          <w:left w:val="nil"/>
          <w:bottom w:val="nil"/>
          <w:right w:val="nil"/>
          <w:between w:val="nil"/>
        </w:pBdr>
        <w:spacing w:after="0"/>
        <w:rPr>
          <w:color w:val="000000"/>
        </w:rPr>
      </w:pPr>
      <w:r>
        <w:rPr>
          <w:color w:val="000000"/>
        </w:rPr>
        <w:t>En números romanos</w:t>
      </w:r>
    </w:p>
    <w:p w14:paraId="0000003B" w14:textId="77777777" w:rsidR="00FF7AA9" w:rsidRDefault="00000000">
      <w:pPr>
        <w:numPr>
          <w:ilvl w:val="0"/>
          <w:numId w:val="1"/>
        </w:numPr>
        <w:pBdr>
          <w:top w:val="nil"/>
          <w:left w:val="nil"/>
          <w:bottom w:val="nil"/>
          <w:right w:val="nil"/>
          <w:between w:val="nil"/>
        </w:pBdr>
        <w:spacing w:after="0"/>
        <w:rPr>
          <w:color w:val="000000"/>
        </w:rPr>
      </w:pPr>
      <w:r>
        <w:rPr>
          <w:color w:val="000000"/>
        </w:rPr>
        <w:t>Al utilizar una tabla dentro de un escrito se debe:</w:t>
      </w:r>
    </w:p>
    <w:p w14:paraId="0000003C" w14:textId="77777777" w:rsidR="00FF7AA9" w:rsidRDefault="00000000">
      <w:pPr>
        <w:numPr>
          <w:ilvl w:val="1"/>
          <w:numId w:val="1"/>
        </w:numPr>
        <w:pBdr>
          <w:top w:val="nil"/>
          <w:left w:val="nil"/>
          <w:bottom w:val="nil"/>
          <w:right w:val="nil"/>
          <w:between w:val="nil"/>
        </w:pBdr>
        <w:spacing w:after="0"/>
        <w:rPr>
          <w:color w:val="000000"/>
        </w:rPr>
      </w:pPr>
      <w:r>
        <w:rPr>
          <w:color w:val="000000"/>
        </w:rPr>
        <w:t>Centralizar la tabla y usar márgenes de 1.5 pulgadas a cada lado</w:t>
      </w:r>
    </w:p>
    <w:p w14:paraId="0000003D" w14:textId="77777777" w:rsidR="00FF7AA9" w:rsidRDefault="00000000">
      <w:pPr>
        <w:numPr>
          <w:ilvl w:val="1"/>
          <w:numId w:val="1"/>
        </w:numPr>
        <w:pBdr>
          <w:top w:val="nil"/>
          <w:left w:val="nil"/>
          <w:bottom w:val="nil"/>
          <w:right w:val="nil"/>
          <w:between w:val="nil"/>
        </w:pBdr>
        <w:spacing w:after="0"/>
        <w:rPr>
          <w:color w:val="000000"/>
        </w:rPr>
      </w:pPr>
      <w:r>
        <w:rPr>
          <w:color w:val="000000"/>
        </w:rPr>
        <w:t>Alinear la tabla a la izquierda y usar márgenes de 1.5 pulgadas a cada lado</w:t>
      </w:r>
    </w:p>
    <w:p w14:paraId="0000003E" w14:textId="77777777" w:rsidR="00FF7AA9" w:rsidRDefault="00000000">
      <w:pPr>
        <w:numPr>
          <w:ilvl w:val="1"/>
          <w:numId w:val="1"/>
        </w:numPr>
        <w:pBdr>
          <w:top w:val="nil"/>
          <w:left w:val="nil"/>
          <w:bottom w:val="nil"/>
          <w:right w:val="nil"/>
          <w:between w:val="nil"/>
        </w:pBdr>
        <w:spacing w:after="0"/>
        <w:rPr>
          <w:color w:val="000000"/>
        </w:rPr>
      </w:pPr>
      <w:r>
        <w:rPr>
          <w:color w:val="000000"/>
        </w:rPr>
        <w:t>Centralizar la tabla y usar márgenes de una pulgada a cada lado</w:t>
      </w:r>
    </w:p>
    <w:p w14:paraId="0000003F" w14:textId="77777777" w:rsidR="00FF7AA9" w:rsidRDefault="00000000">
      <w:pPr>
        <w:numPr>
          <w:ilvl w:val="1"/>
          <w:numId w:val="1"/>
        </w:numPr>
        <w:pBdr>
          <w:top w:val="nil"/>
          <w:left w:val="nil"/>
          <w:bottom w:val="nil"/>
          <w:right w:val="nil"/>
          <w:between w:val="nil"/>
        </w:pBdr>
        <w:spacing w:after="0"/>
        <w:rPr>
          <w:color w:val="000000"/>
        </w:rPr>
      </w:pPr>
      <w:r>
        <w:rPr>
          <w:color w:val="000000"/>
        </w:rPr>
        <w:t>No se pueden utilizar tablas en un artículo</w:t>
      </w:r>
    </w:p>
    <w:p w14:paraId="00000040" w14:textId="77777777" w:rsidR="00FF7AA9" w:rsidRDefault="00000000">
      <w:pPr>
        <w:numPr>
          <w:ilvl w:val="0"/>
          <w:numId w:val="1"/>
        </w:numPr>
        <w:pBdr>
          <w:top w:val="nil"/>
          <w:left w:val="nil"/>
          <w:bottom w:val="nil"/>
          <w:right w:val="nil"/>
          <w:between w:val="nil"/>
        </w:pBdr>
        <w:spacing w:after="0"/>
        <w:rPr>
          <w:color w:val="000000"/>
        </w:rPr>
      </w:pPr>
      <w:r>
        <w:rPr>
          <w:color w:val="000000"/>
        </w:rPr>
        <w:t>Cuando se haga una enumeración extensa dentro de un párrafo, los números irán:</w:t>
      </w:r>
    </w:p>
    <w:p w14:paraId="00000041" w14:textId="77777777" w:rsidR="00FF7AA9" w:rsidRDefault="00000000">
      <w:pPr>
        <w:numPr>
          <w:ilvl w:val="1"/>
          <w:numId w:val="1"/>
        </w:numPr>
        <w:pBdr>
          <w:top w:val="nil"/>
          <w:left w:val="nil"/>
          <w:bottom w:val="nil"/>
          <w:right w:val="nil"/>
          <w:between w:val="nil"/>
        </w:pBdr>
        <w:spacing w:after="0"/>
        <w:rPr>
          <w:color w:val="000000"/>
        </w:rPr>
      </w:pPr>
      <w:r>
        <w:rPr>
          <w:color w:val="000000"/>
        </w:rPr>
        <w:t>Entre paréntesis, con punto y coma o coma para separar cada término</w:t>
      </w:r>
    </w:p>
    <w:p w14:paraId="00000042" w14:textId="77777777" w:rsidR="00FF7AA9" w:rsidRDefault="00000000">
      <w:pPr>
        <w:numPr>
          <w:ilvl w:val="1"/>
          <w:numId w:val="1"/>
        </w:numPr>
        <w:pBdr>
          <w:top w:val="nil"/>
          <w:left w:val="nil"/>
          <w:bottom w:val="nil"/>
          <w:right w:val="nil"/>
          <w:between w:val="nil"/>
        </w:pBdr>
        <w:spacing w:after="0"/>
        <w:rPr>
          <w:color w:val="000000"/>
        </w:rPr>
      </w:pPr>
      <w:r>
        <w:rPr>
          <w:color w:val="000000"/>
        </w:rPr>
        <w:t>Entre corchetes, con punto y coma o coma para separar cada término</w:t>
      </w:r>
    </w:p>
    <w:p w14:paraId="00000043" w14:textId="77777777" w:rsidR="00FF7AA9" w:rsidRDefault="00000000">
      <w:pPr>
        <w:numPr>
          <w:ilvl w:val="1"/>
          <w:numId w:val="1"/>
        </w:numPr>
        <w:pBdr>
          <w:top w:val="nil"/>
          <w:left w:val="nil"/>
          <w:bottom w:val="nil"/>
          <w:right w:val="nil"/>
          <w:between w:val="nil"/>
        </w:pBdr>
        <w:spacing w:after="0"/>
        <w:rPr>
          <w:color w:val="000000"/>
        </w:rPr>
      </w:pPr>
      <w:r>
        <w:rPr>
          <w:color w:val="000000"/>
        </w:rPr>
        <w:t>Entre corchetes, sin punto y coma o coma para separar cada término</w:t>
      </w:r>
    </w:p>
    <w:p w14:paraId="00000044" w14:textId="77777777" w:rsidR="00FF7AA9" w:rsidRDefault="00000000">
      <w:pPr>
        <w:numPr>
          <w:ilvl w:val="1"/>
          <w:numId w:val="1"/>
        </w:numPr>
        <w:pBdr>
          <w:top w:val="nil"/>
          <w:left w:val="nil"/>
          <w:bottom w:val="nil"/>
          <w:right w:val="nil"/>
          <w:between w:val="nil"/>
        </w:pBdr>
        <w:spacing w:after="0"/>
        <w:rPr>
          <w:color w:val="000000"/>
        </w:rPr>
      </w:pPr>
      <w:r>
        <w:rPr>
          <w:color w:val="000000"/>
        </w:rPr>
        <w:t>Entre paréntesis, sin punto y coma o coma para separar cada término</w:t>
      </w:r>
    </w:p>
    <w:p w14:paraId="00000045" w14:textId="77777777" w:rsidR="00FF7AA9" w:rsidRDefault="00000000">
      <w:pPr>
        <w:numPr>
          <w:ilvl w:val="0"/>
          <w:numId w:val="1"/>
        </w:numPr>
        <w:pBdr>
          <w:top w:val="nil"/>
          <w:left w:val="nil"/>
          <w:bottom w:val="nil"/>
          <w:right w:val="nil"/>
          <w:between w:val="nil"/>
        </w:pBdr>
        <w:spacing w:after="0"/>
        <w:rPr>
          <w:color w:val="000000"/>
        </w:rPr>
      </w:pPr>
      <w:r>
        <w:rPr>
          <w:color w:val="000000"/>
        </w:rPr>
        <w:t>Cuando se desee enfatizar una parte del texto se utilizarán</w:t>
      </w:r>
    </w:p>
    <w:p w14:paraId="00000046" w14:textId="77777777" w:rsidR="00FF7AA9" w:rsidRDefault="00000000">
      <w:pPr>
        <w:numPr>
          <w:ilvl w:val="1"/>
          <w:numId w:val="1"/>
        </w:numPr>
        <w:pBdr>
          <w:top w:val="nil"/>
          <w:left w:val="nil"/>
          <w:bottom w:val="nil"/>
          <w:right w:val="nil"/>
          <w:between w:val="nil"/>
        </w:pBdr>
        <w:spacing w:after="0"/>
        <w:rPr>
          <w:color w:val="000000"/>
        </w:rPr>
      </w:pPr>
      <w:r>
        <w:rPr>
          <w:color w:val="000000"/>
        </w:rPr>
        <w:t>Comillas</w:t>
      </w:r>
    </w:p>
    <w:p w14:paraId="00000047" w14:textId="77777777" w:rsidR="00FF7AA9" w:rsidRDefault="00000000">
      <w:pPr>
        <w:numPr>
          <w:ilvl w:val="1"/>
          <w:numId w:val="1"/>
        </w:numPr>
        <w:pBdr>
          <w:top w:val="nil"/>
          <w:left w:val="nil"/>
          <w:bottom w:val="nil"/>
          <w:right w:val="nil"/>
          <w:between w:val="nil"/>
        </w:pBdr>
        <w:spacing w:after="0"/>
        <w:rPr>
          <w:color w:val="000000"/>
        </w:rPr>
      </w:pPr>
      <w:r>
        <w:rPr>
          <w:color w:val="000000"/>
        </w:rPr>
        <w:t>Negritas (bold)</w:t>
      </w:r>
    </w:p>
    <w:p w14:paraId="00000048" w14:textId="77777777" w:rsidR="00FF7AA9" w:rsidRDefault="00000000">
      <w:pPr>
        <w:numPr>
          <w:ilvl w:val="1"/>
          <w:numId w:val="1"/>
        </w:numPr>
        <w:pBdr>
          <w:top w:val="nil"/>
          <w:left w:val="nil"/>
          <w:bottom w:val="nil"/>
          <w:right w:val="nil"/>
          <w:between w:val="nil"/>
        </w:pBdr>
        <w:spacing w:after="0"/>
        <w:rPr>
          <w:color w:val="000000"/>
        </w:rPr>
      </w:pPr>
      <w:r>
        <w:rPr>
          <w:color w:val="000000"/>
        </w:rPr>
        <w:lastRenderedPageBreak/>
        <w:t>Bastardillas</w:t>
      </w:r>
    </w:p>
    <w:p w14:paraId="00000049" w14:textId="77777777" w:rsidR="00FF7AA9" w:rsidRDefault="00000000">
      <w:pPr>
        <w:numPr>
          <w:ilvl w:val="1"/>
          <w:numId w:val="1"/>
        </w:numPr>
        <w:pBdr>
          <w:top w:val="nil"/>
          <w:left w:val="nil"/>
          <w:bottom w:val="nil"/>
          <w:right w:val="nil"/>
          <w:between w:val="nil"/>
        </w:pBdr>
        <w:spacing w:after="0"/>
        <w:rPr>
          <w:color w:val="000000"/>
        </w:rPr>
      </w:pPr>
      <w:r>
        <w:rPr>
          <w:color w:val="000000"/>
        </w:rPr>
        <w:t>Versalitas</w:t>
      </w:r>
    </w:p>
    <w:p w14:paraId="0000004A" w14:textId="77777777" w:rsidR="00FF7AA9" w:rsidRDefault="00000000">
      <w:pPr>
        <w:numPr>
          <w:ilvl w:val="0"/>
          <w:numId w:val="1"/>
        </w:numPr>
        <w:pBdr>
          <w:top w:val="nil"/>
          <w:left w:val="nil"/>
          <w:bottom w:val="nil"/>
          <w:right w:val="nil"/>
          <w:between w:val="nil"/>
        </w:pBdr>
        <w:spacing w:after="0"/>
        <w:rPr>
          <w:color w:val="000000"/>
        </w:rPr>
      </w:pPr>
      <w:r>
        <w:rPr>
          <w:color w:val="000000"/>
        </w:rPr>
        <w:t>Si se va a citar dentro de una cita en bloque, se debe utilizar</w:t>
      </w:r>
    </w:p>
    <w:p w14:paraId="0000004B" w14:textId="77777777" w:rsidR="00FF7AA9" w:rsidRDefault="00000000">
      <w:pPr>
        <w:numPr>
          <w:ilvl w:val="1"/>
          <w:numId w:val="1"/>
        </w:numPr>
        <w:pBdr>
          <w:top w:val="nil"/>
          <w:left w:val="nil"/>
          <w:bottom w:val="nil"/>
          <w:right w:val="nil"/>
          <w:between w:val="nil"/>
        </w:pBdr>
        <w:spacing w:after="0"/>
        <w:rPr>
          <w:color w:val="000000"/>
        </w:rPr>
      </w:pPr>
      <w:r>
        <w:rPr>
          <w:color w:val="000000"/>
        </w:rPr>
        <w:t>Comillas sencillas</w:t>
      </w:r>
    </w:p>
    <w:p w14:paraId="0000004C" w14:textId="77777777" w:rsidR="00FF7AA9" w:rsidRDefault="00000000">
      <w:pPr>
        <w:numPr>
          <w:ilvl w:val="1"/>
          <w:numId w:val="1"/>
        </w:numPr>
        <w:pBdr>
          <w:top w:val="nil"/>
          <w:left w:val="nil"/>
          <w:bottom w:val="nil"/>
          <w:right w:val="nil"/>
          <w:between w:val="nil"/>
        </w:pBdr>
        <w:spacing w:after="0"/>
        <w:rPr>
          <w:color w:val="000000"/>
        </w:rPr>
      </w:pPr>
      <w:r>
        <w:rPr>
          <w:color w:val="000000"/>
        </w:rPr>
        <w:t>Paréntesis</w:t>
      </w:r>
    </w:p>
    <w:p w14:paraId="0000004D" w14:textId="77777777" w:rsidR="00FF7AA9" w:rsidRDefault="00000000">
      <w:pPr>
        <w:numPr>
          <w:ilvl w:val="1"/>
          <w:numId w:val="1"/>
        </w:numPr>
        <w:pBdr>
          <w:top w:val="nil"/>
          <w:left w:val="nil"/>
          <w:bottom w:val="nil"/>
          <w:right w:val="nil"/>
          <w:between w:val="nil"/>
        </w:pBdr>
        <w:spacing w:after="0"/>
        <w:rPr>
          <w:color w:val="000000"/>
        </w:rPr>
      </w:pPr>
      <w:r>
        <w:rPr>
          <w:color w:val="000000"/>
        </w:rPr>
        <w:t>Comillas dobles</w:t>
      </w:r>
    </w:p>
    <w:p w14:paraId="0000004E" w14:textId="77777777" w:rsidR="00FF7AA9" w:rsidRDefault="00000000">
      <w:pPr>
        <w:numPr>
          <w:ilvl w:val="1"/>
          <w:numId w:val="1"/>
        </w:numPr>
        <w:pBdr>
          <w:top w:val="nil"/>
          <w:left w:val="nil"/>
          <w:bottom w:val="nil"/>
          <w:right w:val="nil"/>
          <w:between w:val="nil"/>
        </w:pBdr>
        <w:spacing w:after="0"/>
        <w:rPr>
          <w:color w:val="000000"/>
        </w:rPr>
      </w:pPr>
      <w:r>
        <w:rPr>
          <w:color w:val="000000"/>
        </w:rPr>
        <w:t>Corchetes</w:t>
      </w:r>
    </w:p>
    <w:p w14:paraId="0000004F" w14:textId="77777777" w:rsidR="00FF7AA9" w:rsidRDefault="00000000">
      <w:pPr>
        <w:numPr>
          <w:ilvl w:val="0"/>
          <w:numId w:val="1"/>
        </w:numPr>
        <w:pBdr>
          <w:top w:val="nil"/>
          <w:left w:val="nil"/>
          <w:bottom w:val="nil"/>
          <w:right w:val="nil"/>
          <w:between w:val="nil"/>
        </w:pBdr>
        <w:spacing w:after="0"/>
        <w:rPr>
          <w:color w:val="000000"/>
        </w:rPr>
      </w:pPr>
      <w:r>
        <w:rPr>
          <w:color w:val="000000"/>
        </w:rPr>
        <w:t>La forma corta de citación se utiliza si:</w:t>
      </w:r>
    </w:p>
    <w:p w14:paraId="00000050" w14:textId="77777777" w:rsidR="00FF7AA9" w:rsidRDefault="00000000">
      <w:pPr>
        <w:numPr>
          <w:ilvl w:val="1"/>
          <w:numId w:val="1"/>
        </w:numPr>
        <w:pBdr>
          <w:top w:val="nil"/>
          <w:left w:val="nil"/>
          <w:bottom w:val="nil"/>
          <w:right w:val="nil"/>
          <w:between w:val="nil"/>
        </w:pBdr>
        <w:spacing w:after="0"/>
        <w:rPr>
          <w:color w:val="000000"/>
        </w:rPr>
      </w:pPr>
      <w:r>
        <w:rPr>
          <w:color w:val="000000"/>
        </w:rPr>
        <w:t xml:space="preserve">La cita del caso se encuentra dentro de las cinco notas al calce que preceden, incluyendo si se citó usando un </w:t>
      </w:r>
      <w:r>
        <w:rPr>
          <w:i/>
          <w:color w:val="000000"/>
        </w:rPr>
        <w:t>Id.</w:t>
      </w:r>
    </w:p>
    <w:p w14:paraId="00000051" w14:textId="77777777" w:rsidR="00FF7AA9" w:rsidRDefault="00000000">
      <w:pPr>
        <w:numPr>
          <w:ilvl w:val="1"/>
          <w:numId w:val="1"/>
        </w:numPr>
        <w:pBdr>
          <w:top w:val="nil"/>
          <w:left w:val="nil"/>
          <w:bottom w:val="nil"/>
          <w:right w:val="nil"/>
          <w:between w:val="nil"/>
        </w:pBdr>
        <w:spacing w:after="0"/>
        <w:rPr>
          <w:color w:val="000000"/>
        </w:rPr>
      </w:pPr>
      <w:r>
        <w:rPr>
          <w:color w:val="000000"/>
        </w:rPr>
        <w:t xml:space="preserve">La cita del caso se encuentra dentro de las cinco notas al calce que preceden, excluyendo </w:t>
      </w:r>
      <w:r>
        <w:t>sí se</w:t>
      </w:r>
      <w:r>
        <w:rPr>
          <w:color w:val="000000"/>
        </w:rPr>
        <w:t xml:space="preserve"> citó usando un </w:t>
      </w:r>
      <w:r>
        <w:rPr>
          <w:i/>
          <w:color w:val="000000"/>
        </w:rPr>
        <w:t>Id.</w:t>
      </w:r>
    </w:p>
    <w:p w14:paraId="00000052" w14:textId="77777777" w:rsidR="00FF7AA9" w:rsidRDefault="00000000">
      <w:pPr>
        <w:numPr>
          <w:ilvl w:val="1"/>
          <w:numId w:val="1"/>
        </w:numPr>
        <w:pBdr>
          <w:top w:val="nil"/>
          <w:left w:val="nil"/>
          <w:bottom w:val="nil"/>
          <w:right w:val="nil"/>
          <w:between w:val="nil"/>
        </w:pBdr>
        <w:spacing w:after="0"/>
        <w:rPr>
          <w:color w:val="000000"/>
        </w:rPr>
      </w:pPr>
      <w:r>
        <w:rPr>
          <w:color w:val="000000"/>
        </w:rPr>
        <w:t xml:space="preserve">El caso se encuentra citado en cualquier otra parte del escrito, incluyendo si se citó usando un </w:t>
      </w:r>
      <w:r>
        <w:rPr>
          <w:i/>
          <w:color w:val="000000"/>
        </w:rPr>
        <w:t>Id.</w:t>
      </w:r>
    </w:p>
    <w:p w14:paraId="00000053" w14:textId="77777777" w:rsidR="00FF7AA9" w:rsidRDefault="00000000">
      <w:pPr>
        <w:numPr>
          <w:ilvl w:val="1"/>
          <w:numId w:val="1"/>
        </w:numPr>
        <w:pBdr>
          <w:top w:val="nil"/>
          <w:left w:val="nil"/>
          <w:bottom w:val="nil"/>
          <w:right w:val="nil"/>
          <w:between w:val="nil"/>
        </w:pBdr>
        <w:spacing w:after="0"/>
        <w:rPr>
          <w:color w:val="000000"/>
        </w:rPr>
      </w:pPr>
      <w:r>
        <w:rPr>
          <w:color w:val="000000"/>
        </w:rPr>
        <w:t xml:space="preserve">El caso se encuentra citado en cualquier otra parte del escrito, excluyendo </w:t>
      </w:r>
      <w:r>
        <w:t>sí se</w:t>
      </w:r>
      <w:r>
        <w:rPr>
          <w:color w:val="000000"/>
        </w:rPr>
        <w:t xml:space="preserve"> citó usando un </w:t>
      </w:r>
      <w:r>
        <w:rPr>
          <w:i/>
          <w:color w:val="000000"/>
        </w:rPr>
        <w:t>Id.</w:t>
      </w:r>
    </w:p>
    <w:p w14:paraId="00000054" w14:textId="77777777" w:rsidR="00FF7AA9" w:rsidRDefault="00000000">
      <w:pPr>
        <w:numPr>
          <w:ilvl w:val="0"/>
          <w:numId w:val="1"/>
        </w:numPr>
        <w:pBdr>
          <w:top w:val="nil"/>
          <w:left w:val="nil"/>
          <w:bottom w:val="nil"/>
          <w:right w:val="nil"/>
          <w:between w:val="nil"/>
        </w:pBdr>
        <w:spacing w:after="0"/>
        <w:rPr>
          <w:color w:val="000000"/>
        </w:rPr>
      </w:pPr>
      <w:r>
        <w:rPr>
          <w:color w:val="000000"/>
        </w:rPr>
        <w:t>Una cita de 50 palabras:</w:t>
      </w:r>
    </w:p>
    <w:p w14:paraId="00000055" w14:textId="77777777" w:rsidR="00FF7AA9" w:rsidRDefault="00000000">
      <w:pPr>
        <w:numPr>
          <w:ilvl w:val="1"/>
          <w:numId w:val="1"/>
        </w:numPr>
        <w:pBdr>
          <w:top w:val="nil"/>
          <w:left w:val="nil"/>
          <w:bottom w:val="nil"/>
          <w:right w:val="nil"/>
          <w:between w:val="nil"/>
        </w:pBdr>
        <w:spacing w:after="0"/>
        <w:rPr>
          <w:color w:val="000000"/>
        </w:rPr>
      </w:pPr>
      <w:r>
        <w:rPr>
          <w:color w:val="000000"/>
        </w:rPr>
        <w:t>Se sangra .5 pulgadas tanto en la izquierda como en la derecha y debe estar entre comillas</w:t>
      </w:r>
    </w:p>
    <w:p w14:paraId="00000056" w14:textId="77777777" w:rsidR="00FF7AA9" w:rsidRDefault="00000000">
      <w:pPr>
        <w:numPr>
          <w:ilvl w:val="1"/>
          <w:numId w:val="1"/>
        </w:numPr>
        <w:pBdr>
          <w:top w:val="nil"/>
          <w:left w:val="nil"/>
          <w:bottom w:val="nil"/>
          <w:right w:val="nil"/>
          <w:between w:val="nil"/>
        </w:pBdr>
        <w:spacing w:after="0"/>
        <w:rPr>
          <w:color w:val="000000"/>
        </w:rPr>
      </w:pPr>
      <w:r>
        <w:rPr>
          <w:color w:val="000000"/>
        </w:rPr>
        <w:t>No se sangra y no se usan comillas</w:t>
      </w:r>
    </w:p>
    <w:p w14:paraId="00000057" w14:textId="77777777" w:rsidR="00FF7AA9" w:rsidRDefault="00000000">
      <w:pPr>
        <w:numPr>
          <w:ilvl w:val="1"/>
          <w:numId w:val="1"/>
        </w:numPr>
        <w:pBdr>
          <w:top w:val="nil"/>
          <w:left w:val="nil"/>
          <w:bottom w:val="nil"/>
          <w:right w:val="nil"/>
          <w:between w:val="nil"/>
        </w:pBdr>
        <w:spacing w:after="0"/>
        <w:rPr>
          <w:color w:val="000000"/>
        </w:rPr>
      </w:pPr>
      <w:r>
        <w:rPr>
          <w:color w:val="000000"/>
        </w:rPr>
        <w:t>Se sangra .5 pulgadas tanto en la izquierda como en la derecha y no se usan comillas</w:t>
      </w:r>
    </w:p>
    <w:p w14:paraId="00000058" w14:textId="77777777" w:rsidR="00FF7AA9" w:rsidRDefault="00000000">
      <w:pPr>
        <w:numPr>
          <w:ilvl w:val="1"/>
          <w:numId w:val="1"/>
        </w:numPr>
        <w:pBdr>
          <w:top w:val="nil"/>
          <w:left w:val="nil"/>
          <w:bottom w:val="nil"/>
          <w:right w:val="nil"/>
          <w:between w:val="nil"/>
        </w:pBdr>
        <w:spacing w:after="0"/>
        <w:rPr>
          <w:color w:val="000000"/>
        </w:rPr>
      </w:pPr>
      <w:r>
        <w:rPr>
          <w:color w:val="000000"/>
        </w:rPr>
        <w:t>No se sangra y se usan comillas</w:t>
      </w:r>
    </w:p>
    <w:p w14:paraId="00000059" w14:textId="77777777" w:rsidR="00FF7AA9" w:rsidRDefault="00000000">
      <w:pPr>
        <w:numPr>
          <w:ilvl w:val="0"/>
          <w:numId w:val="1"/>
        </w:numPr>
        <w:pBdr>
          <w:top w:val="nil"/>
          <w:left w:val="nil"/>
          <w:bottom w:val="nil"/>
          <w:right w:val="nil"/>
          <w:between w:val="nil"/>
        </w:pBdr>
        <w:spacing w:after="0"/>
        <w:rPr>
          <w:color w:val="000000"/>
        </w:rPr>
      </w:pPr>
      <w:r>
        <w:rPr>
          <w:color w:val="000000"/>
        </w:rPr>
        <w:t>Los subtítulos de Introducción y Conclusión irán:</w:t>
      </w:r>
    </w:p>
    <w:p w14:paraId="0000005A" w14:textId="77777777" w:rsidR="00FF7AA9" w:rsidRDefault="00000000">
      <w:pPr>
        <w:numPr>
          <w:ilvl w:val="1"/>
          <w:numId w:val="1"/>
        </w:numPr>
        <w:pBdr>
          <w:top w:val="nil"/>
          <w:left w:val="nil"/>
          <w:bottom w:val="nil"/>
          <w:right w:val="nil"/>
          <w:between w:val="nil"/>
        </w:pBdr>
        <w:spacing w:after="0"/>
        <w:rPr>
          <w:color w:val="000000"/>
        </w:rPr>
      </w:pPr>
      <w:r>
        <w:rPr>
          <w:color w:val="000000"/>
        </w:rPr>
        <w:t>En versalitas y ennegrecidos, pero no comenzarán con números romanos</w:t>
      </w:r>
    </w:p>
    <w:p w14:paraId="0000005B" w14:textId="77777777" w:rsidR="00FF7AA9" w:rsidRDefault="00000000">
      <w:pPr>
        <w:numPr>
          <w:ilvl w:val="1"/>
          <w:numId w:val="1"/>
        </w:numPr>
        <w:pBdr>
          <w:top w:val="nil"/>
          <w:left w:val="nil"/>
          <w:bottom w:val="nil"/>
          <w:right w:val="nil"/>
          <w:between w:val="nil"/>
        </w:pBdr>
        <w:spacing w:after="0"/>
        <w:rPr>
          <w:color w:val="000000"/>
        </w:rPr>
      </w:pPr>
      <w:r>
        <w:rPr>
          <w:color w:val="000000"/>
        </w:rPr>
        <w:t>En versalitas, ennegrecidos y con números romanos</w:t>
      </w:r>
    </w:p>
    <w:p w14:paraId="0000005C" w14:textId="77777777" w:rsidR="00FF7AA9" w:rsidRDefault="00000000">
      <w:pPr>
        <w:numPr>
          <w:ilvl w:val="1"/>
          <w:numId w:val="1"/>
        </w:numPr>
        <w:pBdr>
          <w:top w:val="nil"/>
          <w:left w:val="nil"/>
          <w:bottom w:val="nil"/>
          <w:right w:val="nil"/>
          <w:between w:val="nil"/>
        </w:pBdr>
        <w:spacing w:after="0"/>
        <w:rPr>
          <w:color w:val="000000"/>
        </w:rPr>
      </w:pPr>
      <w:r>
        <w:rPr>
          <w:color w:val="000000"/>
        </w:rPr>
        <w:t>En bastardillas y ennegrecidos, pero no comenzarán con números romanos</w:t>
      </w:r>
    </w:p>
    <w:p w14:paraId="0000005D" w14:textId="77777777" w:rsidR="00FF7AA9" w:rsidRDefault="00000000">
      <w:pPr>
        <w:numPr>
          <w:ilvl w:val="1"/>
          <w:numId w:val="1"/>
        </w:numPr>
        <w:pBdr>
          <w:top w:val="nil"/>
          <w:left w:val="nil"/>
          <w:bottom w:val="nil"/>
          <w:right w:val="nil"/>
          <w:between w:val="nil"/>
        </w:pBdr>
        <w:spacing w:after="0"/>
        <w:rPr>
          <w:color w:val="000000"/>
        </w:rPr>
      </w:pPr>
      <w:r>
        <w:rPr>
          <w:color w:val="000000"/>
        </w:rPr>
        <w:t>En bastardillas y ennegrecidos y con números romanos</w:t>
      </w:r>
    </w:p>
    <w:p w14:paraId="0000005E" w14:textId="77777777" w:rsidR="00FF7AA9" w:rsidRDefault="00000000">
      <w:pPr>
        <w:numPr>
          <w:ilvl w:val="0"/>
          <w:numId w:val="1"/>
        </w:numPr>
        <w:pBdr>
          <w:top w:val="nil"/>
          <w:left w:val="nil"/>
          <w:bottom w:val="nil"/>
          <w:right w:val="nil"/>
          <w:between w:val="nil"/>
        </w:pBdr>
        <w:spacing w:after="0"/>
        <w:rPr>
          <w:color w:val="000000"/>
        </w:rPr>
      </w:pPr>
      <w:r>
        <w:rPr>
          <w:color w:val="000000"/>
        </w:rPr>
        <w:t xml:space="preserve">Al </w:t>
      </w:r>
      <w:r>
        <w:t>utilizar</w:t>
      </w:r>
      <w:r>
        <w:rPr>
          <w:color w:val="000000"/>
        </w:rPr>
        <w:t xml:space="preserve"> una gráfica dentro de un escrito se debe:</w:t>
      </w:r>
    </w:p>
    <w:p w14:paraId="0000005F" w14:textId="77777777" w:rsidR="00FF7AA9" w:rsidRDefault="00000000">
      <w:pPr>
        <w:numPr>
          <w:ilvl w:val="1"/>
          <w:numId w:val="1"/>
        </w:numPr>
        <w:pBdr>
          <w:top w:val="nil"/>
          <w:left w:val="nil"/>
          <w:bottom w:val="nil"/>
          <w:right w:val="nil"/>
          <w:between w:val="nil"/>
        </w:pBdr>
        <w:spacing w:after="0"/>
        <w:rPr>
          <w:color w:val="000000"/>
        </w:rPr>
      </w:pPr>
      <w:r>
        <w:rPr>
          <w:color w:val="000000"/>
        </w:rPr>
        <w:t>Centralizar la gráfica y usar márgenes de una pulgada a cada lado</w:t>
      </w:r>
    </w:p>
    <w:p w14:paraId="00000060" w14:textId="77777777" w:rsidR="00FF7AA9" w:rsidRDefault="00000000">
      <w:pPr>
        <w:numPr>
          <w:ilvl w:val="1"/>
          <w:numId w:val="1"/>
        </w:numPr>
        <w:pBdr>
          <w:top w:val="nil"/>
          <w:left w:val="nil"/>
          <w:bottom w:val="nil"/>
          <w:right w:val="nil"/>
          <w:between w:val="nil"/>
        </w:pBdr>
        <w:spacing w:after="0"/>
        <w:rPr>
          <w:color w:val="000000"/>
        </w:rPr>
      </w:pPr>
      <w:r>
        <w:rPr>
          <w:color w:val="000000"/>
        </w:rPr>
        <w:t>Centralizar la gráfica y usar márgenes de 1.5 pulgadas a cada lado</w:t>
      </w:r>
    </w:p>
    <w:p w14:paraId="00000061" w14:textId="77777777" w:rsidR="00FF7AA9" w:rsidRDefault="00000000">
      <w:pPr>
        <w:numPr>
          <w:ilvl w:val="1"/>
          <w:numId w:val="1"/>
        </w:numPr>
        <w:pBdr>
          <w:top w:val="nil"/>
          <w:left w:val="nil"/>
          <w:bottom w:val="nil"/>
          <w:right w:val="nil"/>
          <w:between w:val="nil"/>
        </w:pBdr>
        <w:spacing w:after="0"/>
        <w:rPr>
          <w:color w:val="000000"/>
        </w:rPr>
      </w:pPr>
      <w:r>
        <w:rPr>
          <w:color w:val="000000"/>
        </w:rPr>
        <w:t>Alinear la gráfica a la izquierda y usar márgenes de 1.5 pulgadas a cada lado</w:t>
      </w:r>
    </w:p>
    <w:p w14:paraId="00000062" w14:textId="77777777" w:rsidR="00FF7AA9" w:rsidRDefault="00000000">
      <w:pPr>
        <w:numPr>
          <w:ilvl w:val="1"/>
          <w:numId w:val="1"/>
        </w:numPr>
        <w:pBdr>
          <w:top w:val="nil"/>
          <w:left w:val="nil"/>
          <w:bottom w:val="nil"/>
          <w:right w:val="nil"/>
          <w:between w:val="nil"/>
        </w:pBdr>
        <w:spacing w:after="0"/>
        <w:rPr>
          <w:color w:val="000000"/>
        </w:rPr>
      </w:pPr>
      <w:r>
        <w:rPr>
          <w:color w:val="000000"/>
        </w:rPr>
        <w:t>Alinear la gráfica a la derecha y usar márgenes de una pulgada a cada lado</w:t>
      </w:r>
    </w:p>
    <w:p w14:paraId="00000063" w14:textId="77777777" w:rsidR="00FF7AA9" w:rsidRDefault="00000000">
      <w:pPr>
        <w:numPr>
          <w:ilvl w:val="1"/>
          <w:numId w:val="1"/>
        </w:numPr>
        <w:pBdr>
          <w:top w:val="nil"/>
          <w:left w:val="nil"/>
          <w:bottom w:val="nil"/>
          <w:right w:val="nil"/>
          <w:between w:val="nil"/>
        </w:pBdr>
        <w:spacing w:after="0"/>
        <w:rPr>
          <w:color w:val="000000"/>
        </w:rPr>
      </w:pPr>
      <w:r>
        <w:rPr>
          <w:color w:val="000000"/>
        </w:rPr>
        <w:t>No se pueden utilizar gráficas en un artículo</w:t>
      </w:r>
    </w:p>
    <w:p w14:paraId="00000064" w14:textId="77777777" w:rsidR="00FF7AA9" w:rsidRDefault="00000000">
      <w:pPr>
        <w:numPr>
          <w:ilvl w:val="0"/>
          <w:numId w:val="1"/>
        </w:numPr>
        <w:pBdr>
          <w:top w:val="nil"/>
          <w:left w:val="nil"/>
          <w:bottom w:val="nil"/>
          <w:right w:val="nil"/>
          <w:between w:val="nil"/>
        </w:pBdr>
        <w:spacing w:after="0"/>
        <w:rPr>
          <w:color w:val="000000"/>
        </w:rPr>
      </w:pPr>
      <w:r>
        <w:rPr>
          <w:color w:val="000000"/>
        </w:rPr>
        <w:t>La abreviatura correcta de Junta de Apelaciones del Sistema de Educación es:</w:t>
      </w:r>
    </w:p>
    <w:p w14:paraId="00000065" w14:textId="77777777" w:rsidR="00FF7AA9" w:rsidRDefault="00000000">
      <w:pPr>
        <w:numPr>
          <w:ilvl w:val="1"/>
          <w:numId w:val="1"/>
        </w:numPr>
        <w:pBdr>
          <w:top w:val="nil"/>
          <w:left w:val="nil"/>
          <w:bottom w:val="nil"/>
          <w:right w:val="nil"/>
          <w:between w:val="nil"/>
        </w:pBdr>
        <w:spacing w:after="0"/>
        <w:rPr>
          <w:color w:val="000000"/>
        </w:rPr>
      </w:pPr>
      <w:r>
        <w:rPr>
          <w:color w:val="000000"/>
        </w:rPr>
        <w:t>J Apel Sist Educ Púb</w:t>
      </w:r>
    </w:p>
    <w:p w14:paraId="00000066" w14:textId="77777777" w:rsidR="00FF7AA9" w:rsidRPr="009C7BE1" w:rsidRDefault="00000000">
      <w:pPr>
        <w:numPr>
          <w:ilvl w:val="1"/>
          <w:numId w:val="1"/>
        </w:numPr>
        <w:pBdr>
          <w:top w:val="nil"/>
          <w:left w:val="nil"/>
          <w:bottom w:val="nil"/>
          <w:right w:val="nil"/>
          <w:between w:val="nil"/>
        </w:pBdr>
        <w:spacing w:after="0"/>
        <w:rPr>
          <w:color w:val="000000"/>
          <w:lang w:val="en-US"/>
        </w:rPr>
      </w:pPr>
      <w:r w:rsidRPr="009C7BE1">
        <w:rPr>
          <w:color w:val="000000"/>
          <w:lang w:val="en-US"/>
        </w:rPr>
        <w:t>Junt. Ap. Sis. Edu. Púb.</w:t>
      </w:r>
    </w:p>
    <w:p w14:paraId="00000067" w14:textId="77777777" w:rsidR="00FF7AA9" w:rsidRDefault="00000000">
      <w:pPr>
        <w:numPr>
          <w:ilvl w:val="1"/>
          <w:numId w:val="1"/>
        </w:numPr>
        <w:pBdr>
          <w:top w:val="nil"/>
          <w:left w:val="nil"/>
          <w:bottom w:val="nil"/>
          <w:right w:val="nil"/>
          <w:between w:val="nil"/>
        </w:pBdr>
        <w:spacing w:after="0"/>
        <w:rPr>
          <w:color w:val="000000"/>
        </w:rPr>
      </w:pPr>
      <w:r>
        <w:rPr>
          <w:color w:val="000000"/>
        </w:rPr>
        <w:t>Junt Ap Sis Edu Púb</w:t>
      </w:r>
    </w:p>
    <w:p w14:paraId="00000068" w14:textId="77777777" w:rsidR="00FF7AA9" w:rsidRDefault="00000000">
      <w:pPr>
        <w:numPr>
          <w:ilvl w:val="1"/>
          <w:numId w:val="1"/>
        </w:numPr>
        <w:pBdr>
          <w:top w:val="nil"/>
          <w:left w:val="nil"/>
          <w:bottom w:val="nil"/>
          <w:right w:val="nil"/>
          <w:between w:val="nil"/>
        </w:pBdr>
        <w:spacing w:after="0"/>
        <w:rPr>
          <w:color w:val="000000"/>
        </w:rPr>
      </w:pPr>
      <w:r>
        <w:rPr>
          <w:color w:val="000000"/>
        </w:rPr>
        <w:t xml:space="preserve"> J. Apel. Sist. Educ. Púb.</w:t>
      </w:r>
    </w:p>
    <w:p w14:paraId="00000069" w14:textId="77777777" w:rsidR="00FF7AA9" w:rsidRDefault="00000000">
      <w:pPr>
        <w:numPr>
          <w:ilvl w:val="1"/>
          <w:numId w:val="1"/>
        </w:numPr>
        <w:pBdr>
          <w:top w:val="nil"/>
          <w:left w:val="nil"/>
          <w:bottom w:val="nil"/>
          <w:right w:val="nil"/>
          <w:between w:val="nil"/>
        </w:pBdr>
        <w:spacing w:after="0"/>
        <w:rPr>
          <w:color w:val="000000"/>
        </w:rPr>
      </w:pPr>
      <w:r>
        <w:rPr>
          <w:color w:val="000000"/>
        </w:rPr>
        <w:t>ninguna de las anteriores</w:t>
      </w:r>
    </w:p>
    <w:p w14:paraId="0000006A" w14:textId="77777777" w:rsidR="00FF7AA9" w:rsidRDefault="00000000">
      <w:pPr>
        <w:numPr>
          <w:ilvl w:val="0"/>
          <w:numId w:val="1"/>
        </w:numPr>
        <w:pBdr>
          <w:top w:val="nil"/>
          <w:left w:val="nil"/>
          <w:bottom w:val="nil"/>
          <w:right w:val="nil"/>
          <w:between w:val="nil"/>
        </w:pBdr>
        <w:spacing w:after="0"/>
        <w:rPr>
          <w:color w:val="000000"/>
        </w:rPr>
      </w:pPr>
      <w:r>
        <w:rPr>
          <w:color w:val="000000"/>
        </w:rPr>
        <w:t>La letra que se utilizará en los escritos será</w:t>
      </w:r>
    </w:p>
    <w:p w14:paraId="0000006B" w14:textId="77777777" w:rsidR="00FF7AA9" w:rsidRDefault="00000000">
      <w:pPr>
        <w:numPr>
          <w:ilvl w:val="1"/>
          <w:numId w:val="1"/>
        </w:numPr>
        <w:pBdr>
          <w:top w:val="nil"/>
          <w:left w:val="nil"/>
          <w:bottom w:val="nil"/>
          <w:right w:val="nil"/>
          <w:between w:val="nil"/>
        </w:pBdr>
        <w:spacing w:after="0"/>
        <w:rPr>
          <w:color w:val="000000"/>
        </w:rPr>
      </w:pPr>
      <w:r>
        <w:rPr>
          <w:color w:val="000000"/>
        </w:rPr>
        <w:t>Times New Roman 12 en el texto y Times New Roman 10 en las notas al calce</w:t>
      </w:r>
    </w:p>
    <w:p w14:paraId="0000006C" w14:textId="77777777" w:rsidR="00FF7AA9" w:rsidRDefault="00000000">
      <w:pPr>
        <w:numPr>
          <w:ilvl w:val="1"/>
          <w:numId w:val="1"/>
        </w:numPr>
        <w:pBdr>
          <w:top w:val="nil"/>
          <w:left w:val="nil"/>
          <w:bottom w:val="nil"/>
          <w:right w:val="nil"/>
          <w:between w:val="nil"/>
        </w:pBdr>
        <w:spacing w:after="0"/>
        <w:rPr>
          <w:color w:val="000000"/>
        </w:rPr>
      </w:pPr>
      <w:r>
        <w:rPr>
          <w:color w:val="000000"/>
        </w:rPr>
        <w:t>Constatia 12 en el texto y Constatia 10 en las notas al calce</w:t>
      </w:r>
    </w:p>
    <w:p w14:paraId="0000006D" w14:textId="77777777" w:rsidR="00FF7AA9" w:rsidRDefault="00000000">
      <w:pPr>
        <w:numPr>
          <w:ilvl w:val="1"/>
          <w:numId w:val="1"/>
        </w:numPr>
        <w:pBdr>
          <w:top w:val="nil"/>
          <w:left w:val="nil"/>
          <w:bottom w:val="nil"/>
          <w:right w:val="nil"/>
          <w:between w:val="nil"/>
        </w:pBdr>
        <w:spacing w:after="0"/>
        <w:rPr>
          <w:color w:val="000000"/>
        </w:rPr>
      </w:pPr>
      <w:r>
        <w:rPr>
          <w:color w:val="000000"/>
        </w:rPr>
        <w:t>Times new Roman 10 en el texto y Times New Roman 8 en las notas al calce</w:t>
      </w:r>
    </w:p>
    <w:p w14:paraId="0000006E" w14:textId="77777777" w:rsidR="00FF7AA9" w:rsidRDefault="00000000">
      <w:pPr>
        <w:numPr>
          <w:ilvl w:val="1"/>
          <w:numId w:val="1"/>
        </w:numPr>
        <w:pBdr>
          <w:top w:val="nil"/>
          <w:left w:val="nil"/>
          <w:bottom w:val="nil"/>
          <w:right w:val="nil"/>
          <w:between w:val="nil"/>
        </w:pBdr>
        <w:spacing w:after="0"/>
        <w:rPr>
          <w:color w:val="000000"/>
        </w:rPr>
      </w:pPr>
      <w:r>
        <w:rPr>
          <w:color w:val="000000"/>
        </w:rPr>
        <w:t>Constatia 10 en el texto y Constatia 8 en las notas al calce</w:t>
      </w:r>
    </w:p>
    <w:p w14:paraId="0000006F" w14:textId="77777777" w:rsidR="00FF7AA9" w:rsidRDefault="00000000">
      <w:pPr>
        <w:numPr>
          <w:ilvl w:val="1"/>
          <w:numId w:val="1"/>
        </w:numPr>
        <w:pBdr>
          <w:top w:val="nil"/>
          <w:left w:val="nil"/>
          <w:bottom w:val="nil"/>
          <w:right w:val="nil"/>
          <w:between w:val="nil"/>
        </w:pBdr>
        <w:spacing w:after="0"/>
        <w:rPr>
          <w:color w:val="000000"/>
        </w:rPr>
      </w:pPr>
      <w:r>
        <w:rPr>
          <w:color w:val="000000"/>
        </w:rPr>
        <w:lastRenderedPageBreak/>
        <w:t>ninguna de las anteriores</w:t>
      </w:r>
    </w:p>
    <w:p w14:paraId="00000070" w14:textId="77777777" w:rsidR="00FF7AA9" w:rsidRDefault="00FF7AA9">
      <w:pPr>
        <w:pBdr>
          <w:top w:val="nil"/>
          <w:left w:val="nil"/>
          <w:bottom w:val="nil"/>
          <w:right w:val="nil"/>
          <w:between w:val="nil"/>
        </w:pBdr>
        <w:ind w:left="1440"/>
        <w:rPr>
          <w:color w:val="000000"/>
        </w:rPr>
      </w:pPr>
    </w:p>
    <w:p w14:paraId="00000071" w14:textId="77777777" w:rsidR="00FF7AA9" w:rsidRDefault="00000000">
      <w:pPr>
        <w:rPr>
          <w:b/>
        </w:rPr>
      </w:pPr>
      <w:r>
        <w:rPr>
          <w:b/>
        </w:rPr>
        <w:t>Segunda Parte</w:t>
      </w:r>
    </w:p>
    <w:p w14:paraId="00000072" w14:textId="77777777" w:rsidR="00FF7AA9" w:rsidRDefault="00000000">
      <w:pPr>
        <w:ind w:firstLine="708"/>
        <w:jc w:val="both"/>
      </w:pPr>
      <w:r>
        <w:t xml:space="preserve">El aspirante tendrá que revisar los siguientes dos párrafos. En particular tendrá que identificar y corregir errores, de haber algunos. Estos errores pueden ser ortográficos, de sintaxis y/o pueden estar en el formato del escrito. Las correcciones se harán con la herramienta de </w:t>
      </w:r>
      <w:r>
        <w:rPr>
          <w:b/>
          <w:i/>
        </w:rPr>
        <w:t>track changes</w:t>
      </w:r>
      <w:r>
        <w:t>, de no hacer los cambios con tal herramienta encendida, los cambios se tomarán por no puestos y el aspirante no obtendrá puntuación por los cambios realizados.</w:t>
      </w:r>
    </w:p>
    <w:p w14:paraId="00000073" w14:textId="77777777" w:rsidR="00FF7AA9" w:rsidRDefault="00000000">
      <w:pPr>
        <w:jc w:val="both"/>
        <w:rPr>
          <w:b/>
          <w:color w:val="000000"/>
        </w:rPr>
      </w:pPr>
      <w:r>
        <w:rPr>
          <w:b/>
        </w:rPr>
        <w:t xml:space="preserve">II. </w:t>
      </w:r>
      <w:r>
        <w:rPr>
          <w:b/>
          <w:color w:val="000000"/>
        </w:rPr>
        <w:t>Corrige el escrito</w:t>
      </w:r>
    </w:p>
    <w:p w14:paraId="00000074" w14:textId="77777777" w:rsidR="00FF7AA9" w:rsidRDefault="00000000">
      <w:pPr>
        <w:ind w:firstLine="360"/>
        <w:jc w:val="both"/>
      </w:pPr>
      <w:r>
        <w:t xml:space="preserve">Notese que no existe una declaración de política pública ambiental equivalente en la Constitución de los Estados Unidos. Es decir, el interés de todo ciudadano y ciudadana de que el gobierno bele por la protección del medio ambiente está plasmado en la Constitución de Puerto Rico, pero no en la Constitución de los Estados Unidos. Además, esto tiene el efecto de “convertir en justiciables diversos reclamos ambientales que quizás no lo sería de otro modo”.  Esto se debe a que “al elevar la ‘conservación de nuestros recursos naturales’ al rango de política pública constitucional, el País ha manifestado su interés de que los procesos de toma de decisiones en controversias de ésta índole se examinen desde un prisma constitucional”.  Al plasmar esta política publica ambiental en la Constitución de Puerto Rico, la protección del medioambiente se convierte en una cuestión de interés público. Sobre este tipo de controversia, el Tribunal ha dicho que “el pueblo es considerado como la parte especialmente interesada y el demandante no necesita probar que tiene interés especial en el resultado del casó. Basta demostrar que es un ciudadano y como tal está interesado en la ejecución y protección del derecho público.”  Entonces, parece natural que el Tribunal a establecido que la doctrina de legitimación activa se interpreta amplia y liberalmente cuando la demanda es contra agensias y funcionarios gubernamentales.  </w:t>
      </w:r>
    </w:p>
    <w:p w14:paraId="00000075" w14:textId="77777777" w:rsidR="00FF7AA9" w:rsidRDefault="00000000">
      <w:pPr>
        <w:ind w:firstLine="360"/>
        <w:jc w:val="both"/>
      </w:pPr>
      <w:r>
        <w:t>Esta tendencia a reconocer que en casos de interés público los requisitos de justiciabilidad deben de ser interpretado amplia y liberalmente por muchos años llevó a que, como bien expresó la antes jueza presidenta Liana Fiol Matta, “[e]n estos temas de legitimación de terceros hemos dado acceso a los tribunales mediante la interpretación abaradora de las normas de legitimación activa aun cuando la práctica en la jurisdicción federal ha sido lo contrario”.  Es decir, en acciones públicas la norma en puerto rico antes de Surfrider indudablemente era que se reconociera legitimación activa a personas “sin exigir al litigante que demuestre un daño particularisado, distinto al del resto de la ciudadanía”.  Entónces, antes de Surfrider existía una tendencia a interpretar los requisitos de daños de manera amplia en casos ambientales, en parte en reconocimiento al mandato constitucional, además de que se reconocía la legitimacion de terceros en casos de política pública más comúnmente que en la jurisdiccion federal. Estas normas “enmarcan todo un camino de decisiones liberales y acceso a los Tribunales por parte de aquellos que deseaban lleva a cabo el mandato Constitucional de protección al medio ambiente. El Tribunal entendía y así lo permitía, un acceso sencillo, si muchas o ningunas limitaciónes”.</w:t>
      </w:r>
    </w:p>
    <w:p w14:paraId="00000076" w14:textId="77777777" w:rsidR="00FF7AA9" w:rsidRDefault="00FF7AA9">
      <w:pPr>
        <w:rPr>
          <w:b/>
        </w:rPr>
      </w:pPr>
    </w:p>
    <w:p w14:paraId="00000077" w14:textId="77777777" w:rsidR="00FF7AA9" w:rsidRDefault="00FF7AA9">
      <w:pPr>
        <w:rPr>
          <w:b/>
        </w:rPr>
      </w:pPr>
    </w:p>
    <w:p w14:paraId="00000078" w14:textId="77777777" w:rsidR="00FF7AA9" w:rsidRDefault="00000000">
      <w:pPr>
        <w:rPr>
          <w:b/>
        </w:rPr>
      </w:pPr>
      <w:r>
        <w:rPr>
          <w:b/>
        </w:rPr>
        <w:t xml:space="preserve">Tercera Parte </w:t>
      </w:r>
    </w:p>
    <w:p w14:paraId="00000079" w14:textId="77777777" w:rsidR="00FF7AA9" w:rsidRDefault="00000000">
      <w:pPr>
        <w:jc w:val="both"/>
      </w:pPr>
      <w:r>
        <w:lastRenderedPageBreak/>
        <w:tab/>
        <w:t xml:space="preserve">En esta parte las notas al calce provistas deben ser corregidas conforme al Manual. Cada nota al calce tiene una valoración de un punto, sin embargo cada una puede contener varios errores. No se otorgarán puntos parciales, por lo cual el aspirante debe asegurarse que se hayan corregido todos los errores. Las correcciones se harán con la función de </w:t>
      </w:r>
      <w:r>
        <w:rPr>
          <w:i/>
        </w:rPr>
        <w:t xml:space="preserve">track changes </w:t>
      </w:r>
      <w:r>
        <w:t>prendida. De no hacer los cambios con tal herramienta encendida, se tomarán por no puestos los cambios realizados.</w:t>
      </w:r>
    </w:p>
    <w:p w14:paraId="0000007A" w14:textId="77777777" w:rsidR="00FF7AA9" w:rsidRDefault="00000000">
      <w:pPr>
        <w:pBdr>
          <w:top w:val="nil"/>
          <w:left w:val="nil"/>
          <w:bottom w:val="nil"/>
          <w:right w:val="nil"/>
          <w:between w:val="nil"/>
        </w:pBdr>
        <w:jc w:val="both"/>
        <w:rPr>
          <w:b/>
          <w:color w:val="000000"/>
        </w:rPr>
      </w:pPr>
      <w:r>
        <w:rPr>
          <w:b/>
        </w:rPr>
        <w:t xml:space="preserve">III. </w:t>
      </w:r>
      <w:r>
        <w:rPr>
          <w:b/>
          <w:color w:val="000000"/>
        </w:rPr>
        <w:t xml:space="preserve">Corrige las notas al calce conforme a las reglas </w:t>
      </w:r>
      <w:r>
        <w:rPr>
          <w:b/>
        </w:rPr>
        <w:t>del manual</w:t>
      </w:r>
      <w:r>
        <w:rPr>
          <w:b/>
          <w:color w:val="000000"/>
        </w:rPr>
        <w:t xml:space="preserve"> de citación. </w:t>
      </w:r>
    </w:p>
    <w:p w14:paraId="0000007B" w14:textId="77777777" w:rsidR="00FF7AA9" w:rsidRDefault="00000000">
      <w:pPr>
        <w:ind w:left="360"/>
        <w:jc w:val="both"/>
      </w:pPr>
      <w:r>
        <w:rPr>
          <w:vertAlign w:val="superscript"/>
        </w:rPr>
        <w:t xml:space="preserve">1 </w:t>
      </w:r>
      <w:r>
        <w:t xml:space="preserve">DORA NEVARES MUÑIZ, </w:t>
      </w:r>
      <w:r>
        <w:rPr>
          <w:smallCaps/>
        </w:rPr>
        <w:t xml:space="preserve">Derecho Penal Puertorriqueño 73 </w:t>
      </w:r>
      <w:r>
        <w:t>(7ma ed. 2015).</w:t>
      </w:r>
    </w:p>
    <w:p w14:paraId="0000007C" w14:textId="77777777" w:rsidR="00FF7AA9" w:rsidRDefault="00000000">
      <w:pPr>
        <w:ind w:left="360"/>
        <w:jc w:val="both"/>
      </w:pPr>
      <w:r>
        <w:rPr>
          <w:vertAlign w:val="superscript"/>
        </w:rPr>
        <w:t xml:space="preserve">2 </w:t>
      </w:r>
      <w:r>
        <w:t>Pueblo v. Lugo Fabre, 179 D.P.R 125, 133 (2010).</w:t>
      </w:r>
    </w:p>
    <w:p w14:paraId="0000007D" w14:textId="77777777" w:rsidR="00FF7AA9" w:rsidRDefault="00000000">
      <w:pPr>
        <w:ind w:left="360"/>
        <w:jc w:val="both"/>
      </w:pPr>
      <w:r>
        <w:rPr>
          <w:vertAlign w:val="superscript"/>
        </w:rPr>
        <w:t xml:space="preserve">3 </w:t>
      </w:r>
      <w:r>
        <w:rPr>
          <w:i/>
        </w:rPr>
        <w:t xml:space="preserve">Id. </w:t>
      </w:r>
      <w:r>
        <w:t>en la página 134.</w:t>
      </w:r>
    </w:p>
    <w:p w14:paraId="0000007E" w14:textId="77777777" w:rsidR="00FF7AA9" w:rsidRDefault="00000000">
      <w:pPr>
        <w:ind w:left="360"/>
        <w:jc w:val="both"/>
      </w:pPr>
      <w:r>
        <w:rPr>
          <w:vertAlign w:val="superscript"/>
        </w:rPr>
        <w:t xml:space="preserve">4 </w:t>
      </w:r>
      <w:r>
        <w:t>Pueblo v. Bonilla Vázquez, 148 DPR 486, 503 (1999).</w:t>
      </w:r>
    </w:p>
    <w:p w14:paraId="0000007F" w14:textId="77777777" w:rsidR="00FF7AA9" w:rsidRDefault="00000000">
      <w:pPr>
        <w:ind w:left="360"/>
        <w:jc w:val="both"/>
      </w:pPr>
      <w:r>
        <w:rPr>
          <w:vertAlign w:val="superscript"/>
        </w:rPr>
        <w:t xml:space="preserve">5 </w:t>
      </w:r>
      <w:r>
        <w:t>Pueblo v. Negrón Nazario 191 DPR 720, 739 (2014).</w:t>
      </w:r>
    </w:p>
    <w:p w14:paraId="00000080" w14:textId="77777777" w:rsidR="00FF7AA9" w:rsidRDefault="00000000">
      <w:pPr>
        <w:ind w:left="360"/>
        <w:jc w:val="both"/>
        <w:rPr>
          <w:i/>
        </w:rPr>
      </w:pPr>
      <w:r>
        <w:rPr>
          <w:vertAlign w:val="superscript"/>
        </w:rPr>
        <w:t xml:space="preserve">6 </w:t>
      </w:r>
      <w:r>
        <w:t>Id.</w:t>
      </w:r>
      <w:r>
        <w:rPr>
          <w:i/>
          <w:smallCaps/>
        </w:rPr>
        <w:t xml:space="preserve"> </w:t>
      </w:r>
    </w:p>
    <w:p w14:paraId="00000081" w14:textId="77777777" w:rsidR="00FF7AA9" w:rsidRDefault="00000000">
      <w:pPr>
        <w:ind w:left="360"/>
        <w:jc w:val="both"/>
      </w:pPr>
      <w:r>
        <w:rPr>
          <w:vertAlign w:val="superscript"/>
        </w:rPr>
        <w:t xml:space="preserve">7 </w:t>
      </w:r>
      <w:r>
        <w:rPr>
          <w:i/>
        </w:rPr>
        <w:t>Lugo Fabre</w:t>
      </w:r>
      <w:r>
        <w:t>, 179 DPR en la pág. 134 (citando a</w:t>
      </w:r>
      <w:r>
        <w:rPr>
          <w:i/>
        </w:rPr>
        <w:t xml:space="preserve"> </w:t>
      </w:r>
      <w:r>
        <w:t>Pueblo v. González Vega, 99 DPR 21 (1999))</w:t>
      </w:r>
    </w:p>
    <w:p w14:paraId="00000082" w14:textId="77777777" w:rsidR="00FF7AA9" w:rsidRDefault="00000000">
      <w:pPr>
        <w:ind w:left="360"/>
        <w:jc w:val="both"/>
      </w:pPr>
      <w:r>
        <w:rPr>
          <w:vertAlign w:val="superscript"/>
        </w:rPr>
        <w:t xml:space="preserve">8 </w:t>
      </w:r>
      <w:r>
        <w:rPr>
          <w:smallCaps/>
        </w:rPr>
        <w:t xml:space="preserve">Bonilla Vázquez, </w:t>
      </w:r>
      <w:r>
        <w:rPr>
          <w:i/>
        </w:rPr>
        <w:t xml:space="preserve">supra </w:t>
      </w:r>
      <w:r>
        <w:t>nota 4, en la pág 488.</w:t>
      </w:r>
    </w:p>
    <w:p w14:paraId="00000083" w14:textId="77777777" w:rsidR="00FF7AA9" w:rsidRPr="009C7BE1" w:rsidRDefault="00000000">
      <w:pPr>
        <w:ind w:left="360"/>
        <w:jc w:val="both"/>
        <w:rPr>
          <w:lang w:val="en-US"/>
        </w:rPr>
      </w:pPr>
      <w:r w:rsidRPr="009C7BE1">
        <w:rPr>
          <w:vertAlign w:val="superscript"/>
          <w:lang w:val="en-US"/>
        </w:rPr>
        <w:t xml:space="preserve">9 </w:t>
      </w:r>
      <w:r w:rsidRPr="009C7BE1">
        <w:rPr>
          <w:smallCaps/>
          <w:lang w:val="en-US"/>
        </w:rPr>
        <w:t>Cód. Pen. PR</w:t>
      </w:r>
      <w:r w:rsidRPr="009C7BE1">
        <w:rPr>
          <w:lang w:val="en-US"/>
        </w:rPr>
        <w:t xml:space="preserve"> art. 152</w:t>
      </w:r>
    </w:p>
    <w:p w14:paraId="00000084" w14:textId="77777777" w:rsidR="00FF7AA9" w:rsidRDefault="00000000">
      <w:pPr>
        <w:ind w:left="360"/>
        <w:jc w:val="both"/>
      </w:pPr>
      <w:proofErr w:type="gramStart"/>
      <w:r w:rsidRPr="009C7BE1">
        <w:rPr>
          <w:vertAlign w:val="superscript"/>
          <w:lang w:val="en-US"/>
        </w:rPr>
        <w:t xml:space="preserve">10 </w:t>
      </w:r>
      <w:r w:rsidRPr="009C7BE1">
        <w:rPr>
          <w:lang w:val="en-US"/>
        </w:rPr>
        <w:t xml:space="preserve"> Véase</w:t>
      </w:r>
      <w:proofErr w:type="gramEnd"/>
      <w:r w:rsidRPr="009C7BE1">
        <w:rPr>
          <w:i/>
          <w:lang w:val="en-US"/>
        </w:rPr>
        <w:t xml:space="preserve"> </w:t>
      </w:r>
      <w:r w:rsidRPr="009C7BE1">
        <w:rPr>
          <w:smallCaps/>
          <w:lang w:val="en-US"/>
        </w:rPr>
        <w:t xml:space="preserve">Const. </w:t>
      </w:r>
      <w:r>
        <w:rPr>
          <w:smallCaps/>
        </w:rPr>
        <w:t xml:space="preserve">EE. UU. </w:t>
      </w:r>
      <w:r>
        <w:t xml:space="preserve">Enm. 1; </w:t>
      </w:r>
      <w:r>
        <w:rPr>
          <w:smallCaps/>
        </w:rPr>
        <w:t xml:space="preserve">Const. PR </w:t>
      </w:r>
      <w:r>
        <w:t>art. II, §§ 4.</w:t>
      </w:r>
    </w:p>
    <w:p w14:paraId="00000085" w14:textId="77777777" w:rsidR="00FF7AA9" w:rsidRDefault="00000000">
      <w:pPr>
        <w:ind w:left="360"/>
        <w:jc w:val="both"/>
      </w:pPr>
      <w:r>
        <w:rPr>
          <w:vertAlign w:val="superscript"/>
        </w:rPr>
        <w:t xml:space="preserve">11 </w:t>
      </w:r>
      <w:r>
        <w:t xml:space="preserve"> Ley de Política Pública Energética de Puerto Rico, Ley Núm. 17 de 11 de abril de 2019, 29 L.P.R.A. §§ 1141-1141r (2021). </w:t>
      </w:r>
    </w:p>
    <w:p w14:paraId="00000086" w14:textId="77777777" w:rsidR="00FF7AA9" w:rsidRDefault="00000000">
      <w:pPr>
        <w:ind w:left="360"/>
        <w:jc w:val="both"/>
      </w:pPr>
      <w:r>
        <w:rPr>
          <w:vertAlign w:val="superscript"/>
        </w:rPr>
        <w:t xml:space="preserve">12 </w:t>
      </w:r>
      <w:r>
        <w:t xml:space="preserve">José Julián Álvarez González, </w:t>
      </w:r>
      <w:r>
        <w:rPr>
          <w:smallCaps/>
        </w:rPr>
        <w:t xml:space="preserve">Derecho Constitucional de Puerto Rico y Relaciones Constitucionales con los Estados Unidos – Casos y Materiales, 200, </w:t>
      </w:r>
      <w:r>
        <w:t xml:space="preserve">Editorial Temis </w:t>
      </w:r>
      <w:r>
        <w:rPr>
          <w:smallCaps/>
        </w:rPr>
        <w:t>(2009).</w:t>
      </w:r>
    </w:p>
    <w:p w14:paraId="00000087" w14:textId="77777777" w:rsidR="00FF7AA9" w:rsidRDefault="00000000">
      <w:pPr>
        <w:ind w:left="360"/>
        <w:jc w:val="both"/>
      </w:pPr>
      <w:r>
        <w:rPr>
          <w:vertAlign w:val="superscript"/>
        </w:rPr>
        <w:t xml:space="preserve">13  </w:t>
      </w:r>
      <w:r>
        <w:t>Michel J. Godreau Robles, La Posesion y Su Proteccion Sumaria, 58 Rev. Jur. U.P.R. 299, 312 (1989).</w:t>
      </w:r>
    </w:p>
    <w:p w14:paraId="00000088" w14:textId="77777777" w:rsidR="00FF7AA9" w:rsidRDefault="00000000">
      <w:pPr>
        <w:ind w:left="360"/>
        <w:jc w:val="both"/>
        <w:rPr>
          <w:vertAlign w:val="superscript"/>
        </w:rPr>
      </w:pPr>
      <w:r>
        <w:rPr>
          <w:vertAlign w:val="superscript"/>
        </w:rPr>
        <w:t>14</w:t>
      </w:r>
      <w:r>
        <w:t xml:space="preserve">     José Julián Álvarez González, supra nota 13, en la página 311-323. </w:t>
      </w:r>
    </w:p>
    <w:p w14:paraId="00000089" w14:textId="77777777" w:rsidR="00FF7AA9" w:rsidRDefault="00000000">
      <w:pPr>
        <w:ind w:left="360"/>
        <w:jc w:val="both"/>
      </w:pPr>
      <w:r>
        <w:rPr>
          <w:vertAlign w:val="superscript"/>
        </w:rPr>
        <w:t xml:space="preserve">15 </w:t>
      </w:r>
      <w:r>
        <w:t xml:space="preserve"> 29 LPRA §1141e </w:t>
      </w:r>
    </w:p>
    <w:p w14:paraId="0000008A" w14:textId="77777777" w:rsidR="00FF7AA9" w:rsidRDefault="00FF7AA9">
      <w:pPr>
        <w:ind w:left="360"/>
        <w:jc w:val="both"/>
      </w:pPr>
    </w:p>
    <w:p w14:paraId="0000008B" w14:textId="77777777" w:rsidR="00FF7AA9" w:rsidRDefault="00FF7AA9"/>
    <w:sectPr w:rsidR="00FF7A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F3426"/>
    <w:multiLevelType w:val="multilevel"/>
    <w:tmpl w:val="BBDA1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49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A9"/>
    <w:rsid w:val="009C7BE1"/>
    <w:rsid w:val="00FF7AA9"/>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decimalSymbol w:val="."/>
  <w:listSeparator w:val=","/>
  <w15:docId w15:val="{21340F57-2446-6F4C-97E4-6A58C26F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F4529"/>
    <w:pPr>
      <w:ind w:left="720"/>
      <w:contextualSpacing/>
    </w:pPr>
  </w:style>
  <w:style w:type="character" w:styleId="CommentReference">
    <w:name w:val="annotation reference"/>
    <w:basedOn w:val="DefaultParagraphFont"/>
    <w:uiPriority w:val="99"/>
    <w:semiHidden/>
    <w:unhideWhenUsed/>
    <w:rsid w:val="002F4529"/>
    <w:rPr>
      <w:sz w:val="16"/>
      <w:szCs w:val="16"/>
    </w:rPr>
  </w:style>
  <w:style w:type="paragraph" w:styleId="CommentText">
    <w:name w:val="annotation text"/>
    <w:basedOn w:val="Normal"/>
    <w:link w:val="CommentTextChar"/>
    <w:uiPriority w:val="99"/>
    <w:semiHidden/>
    <w:unhideWhenUsed/>
    <w:rsid w:val="002F4529"/>
    <w:pPr>
      <w:spacing w:line="240" w:lineRule="auto"/>
    </w:pPr>
    <w:rPr>
      <w:sz w:val="20"/>
      <w:szCs w:val="20"/>
    </w:rPr>
  </w:style>
  <w:style w:type="character" w:customStyle="1" w:styleId="CommentTextChar">
    <w:name w:val="Comment Text Char"/>
    <w:basedOn w:val="DefaultParagraphFont"/>
    <w:link w:val="CommentText"/>
    <w:uiPriority w:val="99"/>
    <w:semiHidden/>
    <w:rsid w:val="002F4529"/>
    <w:rPr>
      <w:sz w:val="20"/>
      <w:szCs w:val="20"/>
    </w:rPr>
  </w:style>
  <w:style w:type="character" w:styleId="Hyperlink">
    <w:name w:val="Hyperlink"/>
    <w:basedOn w:val="DefaultParagraphFont"/>
    <w:uiPriority w:val="99"/>
    <w:unhideWhenUsed/>
    <w:rsid w:val="002F4529"/>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recho.uprrp.edu/revistajuridica/nosotros/manual-de-citacion-unifor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j2MlLOBDDoCXDO6oDWTHyRxO3A==">CgMxLjA4AHIhMWF2S2habFpLdGhCLUlZdFVhN3Q4QVVINkdRRlRVcmtZ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Muniz</dc:creator>
  <cp:lastModifiedBy>NATALYA RIVERA MALDONADO</cp:lastModifiedBy>
  <cp:revision>2</cp:revision>
  <dcterms:created xsi:type="dcterms:W3CDTF">2023-07-31T23:17:00Z</dcterms:created>
  <dcterms:modified xsi:type="dcterms:W3CDTF">2023-07-31T23:17:00Z</dcterms:modified>
</cp:coreProperties>
</file>