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59" w:type="dxa"/>
        <w:tblLook w:val="04A0" w:firstRow="1" w:lastRow="0" w:firstColumn="1" w:lastColumn="0" w:noHBand="0" w:noVBand="1"/>
      </w:tblPr>
      <w:tblGrid>
        <w:gridCol w:w="4675"/>
        <w:gridCol w:w="5584"/>
      </w:tblGrid>
      <w:tr w:rsidR="00086672" w14:paraId="6140F5DB" w14:textId="77777777" w:rsidTr="003B0DCA">
        <w:trPr>
          <w:trHeight w:val="440"/>
        </w:trPr>
        <w:tc>
          <w:tcPr>
            <w:tcW w:w="4675" w:type="dxa"/>
            <w:shd w:val="clear" w:color="auto" w:fill="CF9E97"/>
          </w:tcPr>
          <w:p w14:paraId="73BBC9B4" w14:textId="77777777" w:rsidR="00086672" w:rsidRPr="00AF2364" w:rsidRDefault="00086672" w:rsidP="00961DB7">
            <w:pPr>
              <w:jc w:val="center"/>
              <w:rPr>
                <w:b/>
                <w:color w:val="FFFFFF" w:themeColor="background1"/>
                <w:sz w:val="28"/>
                <w:szCs w:val="28"/>
                <w:lang w:val="es-PR"/>
              </w:rPr>
            </w:pPr>
            <w:r w:rsidRPr="00AF2364">
              <w:rPr>
                <w:b/>
                <w:color w:val="FFFFFF" w:themeColor="background1"/>
                <w:sz w:val="28"/>
                <w:szCs w:val="28"/>
                <w:lang w:val="es-PR"/>
              </w:rPr>
              <w:t>Lugar</w:t>
            </w:r>
          </w:p>
        </w:tc>
        <w:tc>
          <w:tcPr>
            <w:tcW w:w="5580" w:type="dxa"/>
            <w:shd w:val="clear" w:color="auto" w:fill="CF9E97"/>
          </w:tcPr>
          <w:p w14:paraId="063603EB" w14:textId="77777777" w:rsidR="00086672" w:rsidRPr="00AF2364" w:rsidRDefault="00086672" w:rsidP="00961DB7">
            <w:pPr>
              <w:jc w:val="center"/>
              <w:rPr>
                <w:b/>
                <w:color w:val="FFFFFF" w:themeColor="background1"/>
                <w:sz w:val="28"/>
                <w:szCs w:val="28"/>
                <w:lang w:val="es-PR"/>
              </w:rPr>
            </w:pPr>
            <w:r w:rsidRPr="00AF2364">
              <w:rPr>
                <w:b/>
                <w:color w:val="FFFFFF" w:themeColor="background1"/>
                <w:sz w:val="28"/>
                <w:szCs w:val="28"/>
                <w:lang w:val="es-PR"/>
              </w:rPr>
              <w:t>Información importante adicional</w:t>
            </w:r>
          </w:p>
        </w:tc>
      </w:tr>
      <w:tr w:rsidR="00BC643A" w:rsidRPr="00AF2364" w14:paraId="35179CAF" w14:textId="77777777" w:rsidTr="003B0DCA">
        <w:tc>
          <w:tcPr>
            <w:tcW w:w="10259" w:type="dxa"/>
            <w:gridSpan w:val="2"/>
          </w:tcPr>
          <w:p w14:paraId="27063B24" w14:textId="44E49167" w:rsidR="00BC643A" w:rsidRPr="00BC643A" w:rsidRDefault="00AF2364" w:rsidP="00AF2364">
            <w:pPr>
              <w:jc w:val="center"/>
              <w:rPr>
                <w:b/>
                <w:bCs/>
                <w:color w:val="365F91" w:themeColor="accent1" w:themeShade="BF"/>
                <w:lang w:val="es-PR"/>
              </w:rPr>
            </w:pPr>
            <w:r w:rsidRPr="00AF2364">
              <w:rPr>
                <w:b/>
                <w:bCs/>
                <w:lang w:val="es-PR"/>
              </w:rPr>
              <w:t>202</w:t>
            </w:r>
            <w:r w:rsidR="001F5387">
              <w:rPr>
                <w:b/>
                <w:bCs/>
                <w:lang w:val="es-PR"/>
              </w:rPr>
              <w:t>2</w:t>
            </w:r>
            <w:r w:rsidRPr="00AF2364">
              <w:rPr>
                <w:b/>
                <w:bCs/>
                <w:lang w:val="es-PR"/>
              </w:rPr>
              <w:t xml:space="preserve"> – algunos remoto, otros presencial</w:t>
            </w:r>
          </w:p>
        </w:tc>
      </w:tr>
      <w:tr w:rsidR="00AD4D36" w:rsidRPr="009327E7" w14:paraId="280CAC66" w14:textId="77777777" w:rsidTr="003B0DCA">
        <w:tc>
          <w:tcPr>
            <w:tcW w:w="4675" w:type="dxa"/>
          </w:tcPr>
          <w:p w14:paraId="1424C833" w14:textId="77777777" w:rsidR="00AD4D36" w:rsidRDefault="00AD4D36" w:rsidP="00924438">
            <w:pPr>
              <w:rPr>
                <w:lang w:val="es-PR"/>
              </w:rPr>
            </w:pPr>
            <w:r>
              <w:rPr>
                <w:lang w:val="es-PR"/>
              </w:rPr>
              <w:t xml:space="preserve">Oficina de Administración de los Tribunales (OAT) – </w:t>
            </w:r>
            <w:proofErr w:type="spellStart"/>
            <w:r w:rsidRPr="003E1819">
              <w:rPr>
                <w:i/>
                <w:iCs/>
                <w:lang w:val="es-PR"/>
              </w:rPr>
              <w:t>Directoría</w:t>
            </w:r>
            <w:proofErr w:type="spellEnd"/>
            <w:r w:rsidRPr="003E1819">
              <w:rPr>
                <w:i/>
                <w:iCs/>
                <w:lang w:val="es-PR"/>
              </w:rPr>
              <w:t xml:space="preserve"> de </w:t>
            </w:r>
            <w:r w:rsidR="00924438" w:rsidRPr="003E1819">
              <w:rPr>
                <w:i/>
                <w:iCs/>
                <w:lang w:val="es-PR"/>
              </w:rPr>
              <w:t xml:space="preserve">Programas Judiciales; </w:t>
            </w:r>
            <w:r w:rsidRPr="003E1819">
              <w:rPr>
                <w:i/>
                <w:iCs/>
                <w:lang w:val="es-PR"/>
              </w:rPr>
              <w:t>Oficina de Asuntos Legales</w:t>
            </w:r>
            <w:r w:rsidR="00045BBE" w:rsidRPr="003E1819">
              <w:rPr>
                <w:i/>
                <w:iCs/>
                <w:lang w:val="es-PR"/>
              </w:rPr>
              <w:t xml:space="preserve">; </w:t>
            </w:r>
            <w:r w:rsidR="00924438" w:rsidRPr="003E1819">
              <w:rPr>
                <w:i/>
                <w:iCs/>
                <w:lang w:val="es-PR"/>
              </w:rPr>
              <w:t>Oficina de Educación y Relaciones con la Comunidad; Secretariado de Conferencia Judicial</w:t>
            </w:r>
          </w:p>
        </w:tc>
        <w:tc>
          <w:tcPr>
            <w:tcW w:w="5580" w:type="dxa"/>
          </w:tcPr>
          <w:p w14:paraId="622106BF" w14:textId="77777777" w:rsidR="00AD4D36" w:rsidRDefault="00924438" w:rsidP="00924438">
            <w:pPr>
              <w:rPr>
                <w:lang w:val="es-PR"/>
              </w:rPr>
            </w:pPr>
            <w:r>
              <w:rPr>
                <w:lang w:val="es-PR"/>
              </w:rPr>
              <w:t>Dependiendo la oficina, las oportunidades incluyen investigaciones, contratos, administrativo</w:t>
            </w:r>
            <w:r w:rsidR="008A723A">
              <w:rPr>
                <w:lang w:val="es-PR"/>
              </w:rPr>
              <w:t>, reglamentos</w:t>
            </w:r>
            <w:r>
              <w:rPr>
                <w:lang w:val="es-PR"/>
              </w:rPr>
              <w:t xml:space="preserve"> (DPJ – estudiante debe tener interés en temas de acceso a la Justicia y</w:t>
            </w:r>
            <w:r w:rsidR="00AD4D36">
              <w:rPr>
                <w:lang w:val="es-PR"/>
              </w:rPr>
              <w:t xml:space="preserve"> Justicia Terapéutica</w:t>
            </w:r>
            <w:r>
              <w:rPr>
                <w:lang w:val="es-PR"/>
              </w:rPr>
              <w:t xml:space="preserve">). </w:t>
            </w:r>
          </w:p>
        </w:tc>
      </w:tr>
      <w:tr w:rsidR="00086672" w:rsidRPr="009327E7" w14:paraId="71716DB9" w14:textId="77777777" w:rsidTr="003B0DCA">
        <w:tc>
          <w:tcPr>
            <w:tcW w:w="4675" w:type="dxa"/>
          </w:tcPr>
          <w:p w14:paraId="093E84D3" w14:textId="77777777" w:rsidR="00086672" w:rsidRDefault="00086672" w:rsidP="00961DB7">
            <w:pPr>
              <w:rPr>
                <w:lang w:val="es-PR"/>
              </w:rPr>
            </w:pPr>
            <w:r>
              <w:rPr>
                <w:lang w:val="es-PR"/>
              </w:rPr>
              <w:t>Tribunal de Apelaciones</w:t>
            </w:r>
            <w:r w:rsidR="00E24C7D">
              <w:rPr>
                <w:lang w:val="es-PR"/>
              </w:rPr>
              <w:t>, Tribunal Supremo</w:t>
            </w:r>
          </w:p>
        </w:tc>
        <w:tc>
          <w:tcPr>
            <w:tcW w:w="5580" w:type="dxa"/>
          </w:tcPr>
          <w:p w14:paraId="3E7A35DE" w14:textId="77777777" w:rsidR="00086672" w:rsidRDefault="00E24C7D" w:rsidP="00961DB7">
            <w:pPr>
              <w:rPr>
                <w:lang w:val="es-PR"/>
              </w:rPr>
            </w:pPr>
            <w:r>
              <w:rPr>
                <w:lang w:val="es-PR"/>
              </w:rPr>
              <w:t>Indicar si tiene Juez de preferencia</w:t>
            </w:r>
            <w:r w:rsidR="00D07437">
              <w:rPr>
                <w:lang w:val="es-PR"/>
              </w:rPr>
              <w:t xml:space="preserve">. Ubicación del Supremo mayormente la trabaja el estudiante mediante el proceso de reclutamiento del Tribunal el cual incluye transcripción de créditos OFICIAL, modelos de escritos en español e inglés, carta de presentación, </w:t>
            </w:r>
            <w:proofErr w:type="spellStart"/>
            <w:r w:rsidR="00D07437">
              <w:rPr>
                <w:lang w:val="es-PR"/>
              </w:rPr>
              <w:t>resumé</w:t>
            </w:r>
            <w:proofErr w:type="spellEnd"/>
            <w:r w:rsidR="00D07437">
              <w:rPr>
                <w:lang w:val="es-PR"/>
              </w:rPr>
              <w:t xml:space="preserve"> y entrevista. </w:t>
            </w:r>
          </w:p>
        </w:tc>
      </w:tr>
      <w:tr w:rsidR="00E24C7D" w:rsidRPr="009327E7" w14:paraId="054CCFF4" w14:textId="77777777" w:rsidTr="003B0DCA">
        <w:tc>
          <w:tcPr>
            <w:tcW w:w="4675" w:type="dxa"/>
          </w:tcPr>
          <w:p w14:paraId="278B3783" w14:textId="77777777" w:rsidR="00E24C7D" w:rsidRDefault="00E24C7D" w:rsidP="007B0182">
            <w:pPr>
              <w:rPr>
                <w:lang w:val="es-PR"/>
              </w:rPr>
            </w:pPr>
            <w:r>
              <w:rPr>
                <w:lang w:val="es-PR"/>
              </w:rPr>
              <w:t>Tribunal de Primera Instancia</w:t>
            </w:r>
          </w:p>
        </w:tc>
        <w:tc>
          <w:tcPr>
            <w:tcW w:w="5580" w:type="dxa"/>
          </w:tcPr>
          <w:p w14:paraId="22DD663F" w14:textId="77777777" w:rsidR="00E24C7D" w:rsidRDefault="00E24C7D" w:rsidP="007B0182">
            <w:pPr>
              <w:rPr>
                <w:lang w:val="es-PR"/>
              </w:rPr>
            </w:pPr>
            <w:r>
              <w:rPr>
                <w:lang w:val="es-PR"/>
              </w:rPr>
              <w:t xml:space="preserve">Especificar si tiene preferencia de otro Tribunal que no sea San Juan y tema de preferencia (Familia, Daños, Civil general, Criminal, Recursos Extraordinarios, </w:t>
            </w:r>
            <w:proofErr w:type="spellStart"/>
            <w:r>
              <w:rPr>
                <w:lang w:val="es-PR"/>
              </w:rPr>
              <w:t>Drug</w:t>
            </w:r>
            <w:proofErr w:type="spellEnd"/>
            <w:r>
              <w:rPr>
                <w:lang w:val="es-PR"/>
              </w:rPr>
              <w:t xml:space="preserve"> </w:t>
            </w:r>
            <w:proofErr w:type="spellStart"/>
            <w:r>
              <w:rPr>
                <w:lang w:val="es-PR"/>
              </w:rPr>
              <w:t>Court</w:t>
            </w:r>
            <w:proofErr w:type="spellEnd"/>
            <w:r>
              <w:rPr>
                <w:lang w:val="es-PR"/>
              </w:rPr>
              <w:t>)</w:t>
            </w:r>
            <w:r w:rsidR="009215F5">
              <w:rPr>
                <w:lang w:val="es-PR"/>
              </w:rPr>
              <w:t xml:space="preserve">. </w:t>
            </w:r>
          </w:p>
          <w:p w14:paraId="22A84792" w14:textId="77777777" w:rsidR="009215F5" w:rsidRDefault="009215F5" w:rsidP="007B0182">
            <w:pPr>
              <w:rPr>
                <w:lang w:val="es-PR"/>
              </w:rPr>
            </w:pPr>
          </w:p>
          <w:p w14:paraId="2CCE66DC" w14:textId="77777777" w:rsidR="009215F5" w:rsidRDefault="009215F5" w:rsidP="007B0182">
            <w:pPr>
              <w:rPr>
                <w:lang w:val="es-PR"/>
              </w:rPr>
            </w:pPr>
            <w:r>
              <w:rPr>
                <w:lang w:val="es-PR"/>
              </w:rPr>
              <w:t>LA RAMA JUDICIAL TIENE COMO REQUISITO ASISTIR A VARIOS TALLERES LOS MIERCOLES, POR LO QUE LA DISPONIBILIDAD DE HORAS DE PRÁCTICA DEBE INCLUIR DIAS ADICIONALES.</w:t>
            </w:r>
          </w:p>
        </w:tc>
      </w:tr>
      <w:tr w:rsidR="00E24C7D" w:rsidRPr="009327E7" w14:paraId="5950D7C6" w14:textId="77777777" w:rsidTr="003B0DCA">
        <w:tc>
          <w:tcPr>
            <w:tcW w:w="4675" w:type="dxa"/>
          </w:tcPr>
          <w:p w14:paraId="6ED288CC" w14:textId="59FA6EFC" w:rsidR="00E24C7D" w:rsidRDefault="00E24C7D" w:rsidP="00626ABE">
            <w:pPr>
              <w:rPr>
                <w:lang w:val="es-PR"/>
              </w:rPr>
            </w:pPr>
            <w:r>
              <w:rPr>
                <w:lang w:val="es-PR"/>
              </w:rPr>
              <w:t>Tribunal Federal</w:t>
            </w:r>
            <w:r w:rsidR="003E1819">
              <w:rPr>
                <w:lang w:val="es-PR"/>
              </w:rPr>
              <w:t xml:space="preserve"> (Distrito PR)</w:t>
            </w:r>
          </w:p>
        </w:tc>
        <w:tc>
          <w:tcPr>
            <w:tcW w:w="5580" w:type="dxa"/>
          </w:tcPr>
          <w:p w14:paraId="1DD6ED0D" w14:textId="77777777" w:rsidR="00E24C7D" w:rsidRDefault="00E24C7D" w:rsidP="00D07437">
            <w:pPr>
              <w:rPr>
                <w:lang w:val="es-PR"/>
              </w:rPr>
            </w:pPr>
            <w:r>
              <w:rPr>
                <w:lang w:val="es-PR"/>
              </w:rPr>
              <w:t>Especificar si tiene Juez de preferencia</w:t>
            </w:r>
            <w:r w:rsidR="00D07437">
              <w:rPr>
                <w:lang w:val="es-PR"/>
              </w:rPr>
              <w:t xml:space="preserve">. Esta ubicación requiere todo el proceso de reclutamiento de estudiantes directo con el Tribunal. Debe enviarme </w:t>
            </w:r>
            <w:proofErr w:type="spellStart"/>
            <w:r w:rsidR="00D07437">
              <w:rPr>
                <w:lang w:val="es-PR"/>
              </w:rPr>
              <w:t>resumé</w:t>
            </w:r>
            <w:proofErr w:type="spellEnd"/>
            <w:r w:rsidR="00D07437">
              <w:rPr>
                <w:lang w:val="es-PR"/>
              </w:rPr>
              <w:t xml:space="preserve"> en inglés, “</w:t>
            </w:r>
            <w:proofErr w:type="spellStart"/>
            <w:r w:rsidR="00D07437">
              <w:rPr>
                <w:lang w:val="es-PR"/>
              </w:rPr>
              <w:t>cover</w:t>
            </w:r>
            <w:proofErr w:type="spellEnd"/>
            <w:r w:rsidR="00D07437">
              <w:rPr>
                <w:lang w:val="es-PR"/>
              </w:rPr>
              <w:t xml:space="preserve"> </w:t>
            </w:r>
            <w:proofErr w:type="spellStart"/>
            <w:r w:rsidR="00D07437">
              <w:rPr>
                <w:lang w:val="es-PR"/>
              </w:rPr>
              <w:t>letter</w:t>
            </w:r>
            <w:proofErr w:type="spellEnd"/>
            <w:r w:rsidR="00D07437">
              <w:rPr>
                <w:lang w:val="es-PR"/>
              </w:rPr>
              <w:t>”, transcripción de créditos OFICIAL, “</w:t>
            </w:r>
            <w:proofErr w:type="spellStart"/>
            <w:r w:rsidR="00D07437">
              <w:rPr>
                <w:lang w:val="es-PR"/>
              </w:rPr>
              <w:t>writing</w:t>
            </w:r>
            <w:proofErr w:type="spellEnd"/>
            <w:r w:rsidR="00D07437">
              <w:rPr>
                <w:lang w:val="es-PR"/>
              </w:rPr>
              <w:t xml:space="preserve"> </w:t>
            </w:r>
            <w:proofErr w:type="spellStart"/>
            <w:r w:rsidR="00D07437">
              <w:rPr>
                <w:lang w:val="es-PR"/>
              </w:rPr>
              <w:t>sample</w:t>
            </w:r>
            <w:proofErr w:type="spellEnd"/>
            <w:r w:rsidR="00D07437">
              <w:rPr>
                <w:lang w:val="es-PR"/>
              </w:rPr>
              <w:t xml:space="preserve">” en inglés. </w:t>
            </w:r>
          </w:p>
        </w:tc>
      </w:tr>
      <w:tr w:rsidR="00E24C7D" w:rsidRPr="009327E7" w14:paraId="5EF0921A" w14:textId="77777777" w:rsidTr="003B0DCA">
        <w:tc>
          <w:tcPr>
            <w:tcW w:w="4675" w:type="dxa"/>
          </w:tcPr>
          <w:p w14:paraId="0D72AEC9" w14:textId="77777777" w:rsidR="00E24C7D" w:rsidRPr="00626ABE" w:rsidRDefault="00E24C7D" w:rsidP="00961DB7">
            <w:pPr>
              <w:rPr>
                <w:lang w:val="es-PR"/>
              </w:rPr>
            </w:pPr>
            <w:r>
              <w:rPr>
                <w:lang w:val="es-PR"/>
              </w:rPr>
              <w:t>Tribunal Federal de Quiebras</w:t>
            </w:r>
          </w:p>
        </w:tc>
        <w:tc>
          <w:tcPr>
            <w:tcW w:w="5580" w:type="dxa"/>
          </w:tcPr>
          <w:p w14:paraId="03A7FF0F" w14:textId="77777777" w:rsidR="00E24C7D" w:rsidRPr="00282D9E" w:rsidRDefault="00E24C7D" w:rsidP="003E20F3">
            <w:pPr>
              <w:rPr>
                <w:lang w:val="es-PR"/>
              </w:rPr>
            </w:pPr>
            <w:r w:rsidRPr="00282D9E">
              <w:rPr>
                <w:lang w:val="es-PR"/>
              </w:rPr>
              <w:t xml:space="preserve">Preferible haber tomado Quiebras. </w:t>
            </w:r>
            <w:r w:rsidR="00D07437">
              <w:rPr>
                <w:lang w:val="es-PR"/>
              </w:rPr>
              <w:t xml:space="preserve">Requiere documentos de reclutamiento para el Tribunal Federal. </w:t>
            </w:r>
          </w:p>
        </w:tc>
      </w:tr>
      <w:tr w:rsidR="005E11AB" w:rsidRPr="009327E7" w14:paraId="335B6137" w14:textId="77777777" w:rsidTr="003B0DCA">
        <w:tc>
          <w:tcPr>
            <w:tcW w:w="4675" w:type="dxa"/>
          </w:tcPr>
          <w:p w14:paraId="54FBF246" w14:textId="34B4158B" w:rsidR="005E11AB" w:rsidRPr="002369B2" w:rsidRDefault="005E11AB" w:rsidP="005E11AB">
            <w:pPr>
              <w:rPr>
                <w:lang w:val="es-PR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  <w:shd w:val="clear" w:color="auto" w:fill="FFFFFF"/>
                <w:lang w:val="es-PR"/>
              </w:rPr>
              <w:t xml:space="preserve">Proyecto ADN post sentencia </w:t>
            </w:r>
          </w:p>
        </w:tc>
        <w:tc>
          <w:tcPr>
            <w:tcW w:w="5580" w:type="dxa"/>
          </w:tcPr>
          <w:p w14:paraId="608A43E4" w14:textId="2ABC75BB" w:rsidR="005E11AB" w:rsidRDefault="005E11AB" w:rsidP="005E11AB">
            <w:pPr>
              <w:rPr>
                <w:lang w:val="es-PR"/>
              </w:rPr>
            </w:pPr>
            <w:r w:rsidRPr="005E11AB">
              <w:rPr>
                <w:lang w:val="es-PR"/>
              </w:rPr>
              <w:t>En el Proyecto de ADN Post-Sentencia se atienden las solicitudes de personas convictas que reclaman haber sido condenadas erróneamente.</w:t>
            </w:r>
            <w:r>
              <w:rPr>
                <w:rFonts w:ascii="Bookman Old Style" w:hAnsi="Bookman Old Style"/>
                <w:sz w:val="24"/>
                <w:szCs w:val="24"/>
                <w:lang w:val="es-ES"/>
              </w:rPr>
              <w:t xml:space="preserve"> </w:t>
            </w:r>
          </w:p>
        </w:tc>
      </w:tr>
      <w:tr w:rsidR="005E11AB" w:rsidRPr="00263EF3" w14:paraId="040E33A6" w14:textId="77777777" w:rsidTr="003B0DCA">
        <w:tc>
          <w:tcPr>
            <w:tcW w:w="4675" w:type="dxa"/>
          </w:tcPr>
          <w:p w14:paraId="37A9B0DA" w14:textId="57594730" w:rsidR="005E11AB" w:rsidRDefault="00C67E9C" w:rsidP="005E11AB">
            <w:pPr>
              <w:rPr>
                <w:lang w:val="es-PR"/>
              </w:rPr>
            </w:pPr>
            <w:r>
              <w:rPr>
                <w:lang w:val="es-PR"/>
              </w:rPr>
              <w:t>UPR Resiliency Law Center</w:t>
            </w:r>
          </w:p>
        </w:tc>
        <w:tc>
          <w:tcPr>
            <w:tcW w:w="5580" w:type="dxa"/>
          </w:tcPr>
          <w:p w14:paraId="03F25E09" w14:textId="77777777" w:rsidR="005E11AB" w:rsidRDefault="005E11AB" w:rsidP="005E11AB">
            <w:pPr>
              <w:rPr>
                <w:lang w:val="es-PR"/>
              </w:rPr>
            </w:pPr>
          </w:p>
        </w:tc>
      </w:tr>
      <w:tr w:rsidR="005E11AB" w:rsidRPr="009327E7" w14:paraId="2FA51DED" w14:textId="77777777" w:rsidTr="003B0DCA">
        <w:tc>
          <w:tcPr>
            <w:tcW w:w="4675" w:type="dxa"/>
          </w:tcPr>
          <w:p w14:paraId="3EBB9B14" w14:textId="77777777" w:rsidR="005E11AB" w:rsidRDefault="005E11AB" w:rsidP="005E11AB">
            <w:pPr>
              <w:rPr>
                <w:lang w:val="es-PR"/>
              </w:rPr>
            </w:pPr>
            <w:r>
              <w:rPr>
                <w:lang w:val="es-PR"/>
              </w:rPr>
              <w:t>Sociedad para la Asistencia Legal</w:t>
            </w:r>
          </w:p>
        </w:tc>
        <w:tc>
          <w:tcPr>
            <w:tcW w:w="5580" w:type="dxa"/>
          </w:tcPr>
          <w:p w14:paraId="3E3919F2" w14:textId="77777777" w:rsidR="005E11AB" w:rsidRDefault="005E11AB" w:rsidP="005E11AB">
            <w:pPr>
              <w:rPr>
                <w:lang w:val="es-PR"/>
              </w:rPr>
            </w:pPr>
            <w:r>
              <w:rPr>
                <w:lang w:val="es-PR"/>
              </w:rPr>
              <w:t>Haber tomado los siguientes cursos: Procesal Penal, Evidencia, Constitucional, Ética; interés real en servicio público y en campo penal</w:t>
            </w:r>
          </w:p>
        </w:tc>
      </w:tr>
      <w:tr w:rsidR="005E11AB" w:rsidRPr="009327E7" w14:paraId="435CC258" w14:textId="77777777" w:rsidTr="003B0DCA">
        <w:tc>
          <w:tcPr>
            <w:tcW w:w="4675" w:type="dxa"/>
          </w:tcPr>
          <w:p w14:paraId="09775437" w14:textId="77777777" w:rsidR="005E11AB" w:rsidRDefault="005E11AB" w:rsidP="005E11AB">
            <w:pPr>
              <w:rPr>
                <w:lang w:val="es-PR"/>
              </w:rPr>
            </w:pPr>
            <w:r>
              <w:rPr>
                <w:lang w:val="es-PR"/>
              </w:rPr>
              <w:t>Oficina del Panel del Fiscal Independiente</w:t>
            </w:r>
          </w:p>
        </w:tc>
        <w:tc>
          <w:tcPr>
            <w:tcW w:w="5580" w:type="dxa"/>
          </w:tcPr>
          <w:p w14:paraId="41E683D8" w14:textId="77777777" w:rsidR="005E11AB" w:rsidRDefault="005E11AB" w:rsidP="005E11AB">
            <w:pPr>
              <w:rPr>
                <w:lang w:val="es-PR"/>
              </w:rPr>
            </w:pPr>
          </w:p>
        </w:tc>
      </w:tr>
      <w:tr w:rsidR="005E11AB" w:rsidRPr="009327E7" w14:paraId="3FD7F919" w14:textId="77777777" w:rsidTr="003B0DCA">
        <w:tc>
          <w:tcPr>
            <w:tcW w:w="4675" w:type="dxa"/>
          </w:tcPr>
          <w:p w14:paraId="35572495" w14:textId="77777777" w:rsidR="005E11AB" w:rsidRDefault="005E11AB" w:rsidP="005E11AB">
            <w:pPr>
              <w:rPr>
                <w:lang w:val="es-PR"/>
              </w:rPr>
            </w:pPr>
            <w:r>
              <w:rPr>
                <w:lang w:val="es-PR"/>
              </w:rPr>
              <w:t xml:space="preserve">EPA Puerto Rico </w:t>
            </w:r>
          </w:p>
        </w:tc>
        <w:tc>
          <w:tcPr>
            <w:tcW w:w="5580" w:type="dxa"/>
          </w:tcPr>
          <w:p w14:paraId="6B232F3C" w14:textId="2449EE57" w:rsidR="005E11AB" w:rsidRDefault="005E11AB" w:rsidP="005E11AB">
            <w:pPr>
              <w:rPr>
                <w:lang w:val="es-PR"/>
              </w:rPr>
            </w:pPr>
            <w:r>
              <w:rPr>
                <w:lang w:val="es-PR"/>
              </w:rPr>
              <w:t xml:space="preserve">Completamente bilingüe (escrito y hablado); </w:t>
            </w:r>
            <w:proofErr w:type="spellStart"/>
            <w:r>
              <w:rPr>
                <w:lang w:val="es-PR"/>
              </w:rPr>
              <w:t>writing</w:t>
            </w:r>
            <w:proofErr w:type="spellEnd"/>
            <w:r>
              <w:rPr>
                <w:lang w:val="es-PR"/>
              </w:rPr>
              <w:t xml:space="preserve"> </w:t>
            </w:r>
            <w:proofErr w:type="spellStart"/>
            <w:r>
              <w:rPr>
                <w:lang w:val="es-PR"/>
              </w:rPr>
              <w:t>sample</w:t>
            </w:r>
            <w:proofErr w:type="spellEnd"/>
            <w:r>
              <w:rPr>
                <w:lang w:val="es-PR"/>
              </w:rPr>
              <w:t xml:space="preserve"> en inglés; pasar entrevista; </w:t>
            </w:r>
            <w:proofErr w:type="spellStart"/>
            <w:r>
              <w:rPr>
                <w:lang w:val="es-PR"/>
              </w:rPr>
              <w:t>background</w:t>
            </w:r>
            <w:proofErr w:type="spellEnd"/>
            <w:r>
              <w:rPr>
                <w:lang w:val="es-PR"/>
              </w:rPr>
              <w:t xml:space="preserve"> </w:t>
            </w:r>
            <w:proofErr w:type="spellStart"/>
            <w:r>
              <w:rPr>
                <w:lang w:val="es-PR"/>
              </w:rPr>
              <w:t>check</w:t>
            </w:r>
            <w:proofErr w:type="spellEnd"/>
            <w:r>
              <w:rPr>
                <w:lang w:val="es-PR"/>
              </w:rPr>
              <w:t xml:space="preserve"> </w:t>
            </w:r>
          </w:p>
        </w:tc>
      </w:tr>
      <w:tr w:rsidR="005E11AB" w:rsidRPr="006D04DE" w14:paraId="6E6E3512" w14:textId="77777777" w:rsidTr="003B0DCA">
        <w:tc>
          <w:tcPr>
            <w:tcW w:w="4675" w:type="dxa"/>
          </w:tcPr>
          <w:p w14:paraId="18C1A147" w14:textId="6BD445A6" w:rsidR="005E11AB" w:rsidRPr="006D04DE" w:rsidRDefault="005E11AB" w:rsidP="005E11AB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 w:rsidRPr="00F81D76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Office of the Chief Legal Counsel - U.S. Immigration and Customs Enforcement of Homeland Security</w:t>
            </w:r>
          </w:p>
        </w:tc>
        <w:tc>
          <w:tcPr>
            <w:tcW w:w="5580" w:type="dxa"/>
          </w:tcPr>
          <w:p w14:paraId="5754E1FB" w14:textId="0D23EDF6" w:rsidR="005E11AB" w:rsidRPr="006D04DE" w:rsidRDefault="005E11AB" w:rsidP="005E11AB">
            <w:r w:rsidRPr="00F81D76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(1) a one-page Cover Letter explaining their interest in the position and their academic and professional qualifications; (2) a Resume; (3) Transcripts (Undergraduate and Graduate)</w:t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; </w:t>
            </w:r>
            <w:r w:rsidRPr="00F81D76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and (</w:t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4</w:t>
            </w:r>
            <w:r w:rsidRPr="00F81D76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) a writing sample (10-pages or less). These materials must be sent in English, in PDF form, to the following emails: </w:t>
            </w:r>
            <w:hyperlink r:id="rId7" w:tgtFrame="_blank" w:history="1">
              <w:r w:rsidRPr="00F81D76">
                <w:rPr>
                  <w:color w:val="222222"/>
                  <w:sz w:val="19"/>
                  <w:szCs w:val="19"/>
                </w:rPr>
                <w:t>Dina.Avila@ice.dhs.gov</w:t>
              </w:r>
            </w:hyperlink>
            <w:r w:rsidRPr="00F81D76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; and </w:t>
            </w:r>
            <w:hyperlink r:id="rId8" w:tgtFrame="_blank" w:history="1">
              <w:r w:rsidRPr="00F81D76">
                <w:rPr>
                  <w:color w:val="222222"/>
                  <w:sz w:val="19"/>
                  <w:szCs w:val="19"/>
                </w:rPr>
                <w:t>Normary.Figueroa@ice.dhs.gov</w:t>
              </w:r>
            </w:hyperlink>
            <w:r w:rsidRPr="00F81D76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. </w:t>
            </w:r>
          </w:p>
        </w:tc>
      </w:tr>
      <w:tr w:rsidR="005E11AB" w:rsidRPr="00C67E9C" w14:paraId="5D6245AC" w14:textId="77777777" w:rsidTr="003B0DCA">
        <w:trPr>
          <w:trHeight w:val="422"/>
        </w:trPr>
        <w:tc>
          <w:tcPr>
            <w:tcW w:w="4675" w:type="dxa"/>
          </w:tcPr>
          <w:p w14:paraId="0C570154" w14:textId="493583A3" w:rsidR="005E11AB" w:rsidRPr="00CD609A" w:rsidRDefault="00C67E9C" w:rsidP="005E11AB">
            <w:pPr>
              <w:rPr>
                <w:rFonts w:ascii="Times New Roman" w:eastAsia="Times New Roman" w:hAnsi="Times New Roman" w:cs="Times New Roman"/>
                <w:sz w:val="19"/>
                <w:szCs w:val="19"/>
                <w:lang w:val="es-PR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  <w:shd w:val="clear" w:color="auto" w:fill="FFFFFF"/>
                <w:lang w:val="es-PR"/>
              </w:rPr>
              <w:t>Legislatura Municipal de Caguas</w:t>
            </w:r>
            <w:r w:rsidR="005E11AB" w:rsidRPr="00CD609A">
              <w:rPr>
                <w:rFonts w:ascii="Arial" w:eastAsia="Times New Roman" w:hAnsi="Arial" w:cs="Arial"/>
                <w:color w:val="222222"/>
                <w:sz w:val="19"/>
                <w:szCs w:val="19"/>
                <w:shd w:val="clear" w:color="auto" w:fill="FFFFFF"/>
                <w:lang w:val="es-PR"/>
              </w:rPr>
              <w:t> </w:t>
            </w:r>
          </w:p>
        </w:tc>
        <w:tc>
          <w:tcPr>
            <w:tcW w:w="5580" w:type="dxa"/>
          </w:tcPr>
          <w:p w14:paraId="00DA9A68" w14:textId="77777777" w:rsidR="005E11AB" w:rsidRPr="001D2A96" w:rsidRDefault="005E11AB" w:rsidP="005E11AB">
            <w:pPr>
              <w:rPr>
                <w:rFonts w:ascii="Arial" w:hAnsi="Arial" w:cs="Arial"/>
                <w:sz w:val="19"/>
                <w:szCs w:val="19"/>
                <w:shd w:val="clear" w:color="auto" w:fill="FFFFFF"/>
                <w:lang w:val="es-PR"/>
              </w:rPr>
            </w:pPr>
          </w:p>
        </w:tc>
      </w:tr>
      <w:tr w:rsidR="005E11AB" w:rsidRPr="009327E7" w14:paraId="7E10D9B5" w14:textId="77777777" w:rsidTr="003B0DCA">
        <w:trPr>
          <w:trHeight w:val="350"/>
        </w:trPr>
        <w:tc>
          <w:tcPr>
            <w:tcW w:w="4675" w:type="dxa"/>
          </w:tcPr>
          <w:p w14:paraId="6283037E" w14:textId="20E3BAF3" w:rsidR="005E11AB" w:rsidRPr="00CD609A" w:rsidRDefault="005E11AB" w:rsidP="005E11AB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shd w:val="clear" w:color="auto" w:fill="FFFFFF"/>
                <w:lang w:val="es-PR"/>
              </w:rPr>
            </w:pPr>
            <w:r w:rsidRPr="002369B2">
              <w:rPr>
                <w:lang w:val="es-PR"/>
              </w:rPr>
              <w:t>Servicios Legales de Puerto Rico</w:t>
            </w:r>
          </w:p>
        </w:tc>
        <w:tc>
          <w:tcPr>
            <w:tcW w:w="5580" w:type="dxa"/>
          </w:tcPr>
          <w:p w14:paraId="5729EA5D" w14:textId="5B87B6A5" w:rsidR="005E11AB" w:rsidRPr="001D2A96" w:rsidRDefault="005E11AB" w:rsidP="005E11AB">
            <w:pPr>
              <w:rPr>
                <w:rFonts w:ascii="Arial" w:hAnsi="Arial" w:cs="Arial"/>
                <w:sz w:val="19"/>
                <w:szCs w:val="19"/>
                <w:shd w:val="clear" w:color="auto" w:fill="FFFFFF"/>
                <w:lang w:val="es-PR"/>
              </w:rPr>
            </w:pPr>
            <w:r>
              <w:rPr>
                <w:lang w:val="es-PR"/>
              </w:rPr>
              <w:t>Haber tomado procesal civil y Evidencia</w:t>
            </w:r>
          </w:p>
        </w:tc>
      </w:tr>
      <w:tr w:rsidR="000918CA" w:rsidRPr="009327E7" w14:paraId="6FDCFDB2" w14:textId="77777777" w:rsidTr="003B0DCA">
        <w:trPr>
          <w:trHeight w:val="350"/>
        </w:trPr>
        <w:tc>
          <w:tcPr>
            <w:tcW w:w="4675" w:type="dxa"/>
          </w:tcPr>
          <w:p w14:paraId="64DFF400" w14:textId="5A154961" w:rsidR="000918CA" w:rsidRPr="002369B2" w:rsidRDefault="000918CA" w:rsidP="005E11AB">
            <w:pPr>
              <w:rPr>
                <w:lang w:val="es-PR"/>
              </w:rPr>
            </w:pPr>
            <w:r>
              <w:rPr>
                <w:lang w:val="es-PR"/>
              </w:rPr>
              <w:t xml:space="preserve">Departamento de Desarrollo Económico y Comercio (DDEC) - </w:t>
            </w:r>
          </w:p>
        </w:tc>
        <w:tc>
          <w:tcPr>
            <w:tcW w:w="5580" w:type="dxa"/>
          </w:tcPr>
          <w:p w14:paraId="7EA08A0D" w14:textId="58C94D78" w:rsidR="000918CA" w:rsidRDefault="000918CA" w:rsidP="005E11AB">
            <w:pPr>
              <w:rPr>
                <w:lang w:val="es-PR"/>
              </w:rPr>
            </w:pPr>
            <w:r>
              <w:rPr>
                <w:lang w:val="es-PR"/>
              </w:rPr>
              <w:t xml:space="preserve">Posibles ubicaciones: Programa de Desarrollo Laboral, Programa de Política Pública Energética, Programa de </w:t>
            </w:r>
            <w:r>
              <w:rPr>
                <w:lang w:val="es-PR"/>
              </w:rPr>
              <w:lastRenderedPageBreak/>
              <w:t xml:space="preserve">Cines, Departamento Legal, </w:t>
            </w:r>
            <w:proofErr w:type="spellStart"/>
            <w:r>
              <w:rPr>
                <w:lang w:val="es-PR"/>
              </w:rPr>
              <w:t>OGPe</w:t>
            </w:r>
            <w:proofErr w:type="spellEnd"/>
            <w:r>
              <w:rPr>
                <w:lang w:val="es-PR"/>
              </w:rPr>
              <w:t>, Programa de Incentivos, Programa de Desarrollo de Negocios</w:t>
            </w:r>
          </w:p>
        </w:tc>
      </w:tr>
      <w:tr w:rsidR="00BA79C0" w:rsidRPr="009327E7" w14:paraId="67CF60A2" w14:textId="77777777" w:rsidTr="003B0DCA">
        <w:trPr>
          <w:trHeight w:val="350"/>
        </w:trPr>
        <w:tc>
          <w:tcPr>
            <w:tcW w:w="4675" w:type="dxa"/>
          </w:tcPr>
          <w:p w14:paraId="544352DD" w14:textId="77777777" w:rsidR="003B0DCA" w:rsidRDefault="00BA79C0" w:rsidP="005E11AB">
            <w:pPr>
              <w:rPr>
                <w:lang w:val="es-PR"/>
              </w:rPr>
            </w:pPr>
            <w:r>
              <w:rPr>
                <w:lang w:val="es-PR"/>
              </w:rPr>
              <w:lastRenderedPageBreak/>
              <w:t xml:space="preserve">Departamento de Salud </w:t>
            </w:r>
          </w:p>
          <w:p w14:paraId="77D8AC03" w14:textId="77777777" w:rsidR="003B0DCA" w:rsidRDefault="003B0DCA" w:rsidP="005E11AB">
            <w:pPr>
              <w:rPr>
                <w:rFonts w:eastAsia="Times New Roman"/>
                <w:i/>
                <w:iCs/>
                <w:lang w:val="es-ES"/>
              </w:rPr>
            </w:pPr>
            <w:r>
              <w:rPr>
                <w:rFonts w:eastAsia="Times New Roman"/>
                <w:i/>
                <w:iCs/>
                <w:lang w:val="es-ES"/>
              </w:rPr>
              <w:t xml:space="preserve">     </w:t>
            </w:r>
            <w:r w:rsidRPr="003B0DCA">
              <w:rPr>
                <w:rFonts w:eastAsia="Times New Roman"/>
                <w:i/>
                <w:iCs/>
                <w:lang w:val="es-ES"/>
              </w:rPr>
              <w:t xml:space="preserve">División de Asesores Legales, </w:t>
            </w:r>
          </w:p>
          <w:p w14:paraId="6FD9C98F" w14:textId="6AF3D555" w:rsidR="003B0DCA" w:rsidRDefault="003B0DCA" w:rsidP="005E11AB">
            <w:pPr>
              <w:rPr>
                <w:rStyle w:val="s5"/>
                <w:rFonts w:ascii="Verdana" w:hAnsi="Verdana"/>
                <w:i/>
                <w:iCs/>
                <w:sz w:val="18"/>
                <w:szCs w:val="18"/>
                <w:lang w:val="es-ES"/>
              </w:rPr>
            </w:pPr>
            <w:r>
              <w:rPr>
                <w:rStyle w:val="s5"/>
                <w:rFonts w:ascii="Verdana" w:eastAsia="Times New Roman" w:hAnsi="Verdana"/>
                <w:i/>
                <w:iCs/>
                <w:color w:val="000000"/>
                <w:sz w:val="18"/>
                <w:szCs w:val="18"/>
                <w:lang w:val="es-ES"/>
              </w:rPr>
              <w:t xml:space="preserve">   </w:t>
            </w:r>
            <w:r w:rsidRPr="003B0DCA">
              <w:rPr>
                <w:rStyle w:val="s5"/>
                <w:rFonts w:ascii="Verdana" w:eastAsia="Times New Roman" w:hAnsi="Verdana"/>
                <w:i/>
                <w:iCs/>
                <w:color w:val="000000"/>
                <w:sz w:val="18"/>
                <w:szCs w:val="18"/>
                <w:lang w:val="es-ES"/>
              </w:rPr>
              <w:t>Secretaría</w:t>
            </w:r>
            <w:r w:rsidRPr="003B0DCA">
              <w:rPr>
                <w:rStyle w:val="apple-converted-space"/>
                <w:rFonts w:ascii="Verdana" w:eastAsia="Times New Roman" w:hAnsi="Verdana"/>
                <w:i/>
                <w:iCs/>
                <w:color w:val="000000"/>
                <w:sz w:val="18"/>
                <w:szCs w:val="18"/>
                <w:lang w:val="es-ES"/>
              </w:rPr>
              <w:t xml:space="preserve"> </w:t>
            </w:r>
            <w:r w:rsidRPr="003B0DCA">
              <w:rPr>
                <w:rStyle w:val="s5"/>
                <w:rFonts w:ascii="Verdana" w:eastAsia="Times New Roman" w:hAnsi="Verdana"/>
                <w:i/>
                <w:iCs/>
                <w:color w:val="000000"/>
                <w:sz w:val="18"/>
                <w:szCs w:val="18"/>
                <w:lang w:val="es-ES"/>
              </w:rPr>
              <w:t>Auxiliar de Servicios Médicos y</w:t>
            </w:r>
            <w:r w:rsidRPr="003B0DCA">
              <w:rPr>
                <w:rStyle w:val="apple-converted-space"/>
                <w:rFonts w:ascii="Verdana" w:eastAsia="Times New Roman" w:hAnsi="Verdana"/>
                <w:i/>
                <w:iCs/>
                <w:color w:val="000000"/>
                <w:sz w:val="18"/>
                <w:szCs w:val="18"/>
                <w:lang w:val="es-ES"/>
              </w:rPr>
              <w:t> </w:t>
            </w:r>
            <w:r w:rsidRPr="003B0DCA">
              <w:rPr>
                <w:rStyle w:val="s5"/>
                <w:rFonts w:ascii="Verdana" w:eastAsia="Times New Roman" w:hAnsi="Verdana"/>
                <w:i/>
                <w:iCs/>
                <w:color w:val="000000"/>
                <w:sz w:val="18"/>
                <w:szCs w:val="18"/>
                <w:lang w:val="es-ES"/>
              </w:rPr>
              <w:t>Enfermería (SASME)</w:t>
            </w:r>
          </w:p>
          <w:p w14:paraId="297F132D" w14:textId="6BBD4F8C" w:rsidR="003B0DCA" w:rsidRDefault="003B0DCA" w:rsidP="005E11AB">
            <w:pPr>
              <w:rPr>
                <w:rStyle w:val="s5"/>
                <w:rFonts w:ascii="Verdana" w:eastAsia="Times New Roman" w:hAnsi="Verdana"/>
                <w:i/>
                <w:iCs/>
                <w:color w:val="000000"/>
                <w:sz w:val="18"/>
                <w:szCs w:val="18"/>
                <w:lang w:val="es-ES"/>
              </w:rPr>
            </w:pPr>
            <w:r>
              <w:rPr>
                <w:rStyle w:val="s5"/>
                <w:rFonts w:ascii="Verdana" w:hAnsi="Verdana"/>
                <w:i/>
                <w:iCs/>
                <w:sz w:val="18"/>
                <w:szCs w:val="18"/>
                <w:lang w:val="es-ES"/>
              </w:rPr>
              <w:t xml:space="preserve">   </w:t>
            </w:r>
            <w:r w:rsidRPr="003B0DCA">
              <w:rPr>
                <w:rStyle w:val="s5"/>
                <w:rFonts w:ascii="Verdana" w:eastAsia="Times New Roman" w:hAnsi="Verdana"/>
                <w:i/>
                <w:iCs/>
                <w:color w:val="000000"/>
                <w:sz w:val="18"/>
                <w:szCs w:val="18"/>
                <w:lang w:val="es-ES"/>
              </w:rPr>
              <w:t xml:space="preserve">Secretaría Auxiliar para la Reglamentación y Acreditación de </w:t>
            </w:r>
            <w:r w:rsidRPr="003B0DCA">
              <w:rPr>
                <w:rStyle w:val="s5"/>
                <w:rFonts w:ascii="Verdana" w:eastAsia="Times New Roman" w:hAnsi="Verdana"/>
                <w:i/>
                <w:iCs/>
                <w:color w:val="000000"/>
                <w:sz w:val="18"/>
                <w:szCs w:val="18"/>
                <w:u w:val="single"/>
                <w:lang w:val="es-ES"/>
              </w:rPr>
              <w:t>Facilidades</w:t>
            </w:r>
            <w:r w:rsidRPr="003B0DCA">
              <w:rPr>
                <w:rStyle w:val="s5"/>
                <w:rFonts w:ascii="Verdana" w:eastAsia="Times New Roman" w:hAnsi="Verdana"/>
                <w:i/>
                <w:iCs/>
                <w:color w:val="000000"/>
                <w:sz w:val="18"/>
                <w:szCs w:val="18"/>
                <w:lang w:val="es-ES"/>
              </w:rPr>
              <w:t xml:space="preserve"> de Salud (SARAFS)</w:t>
            </w:r>
          </w:p>
          <w:p w14:paraId="39E60E94" w14:textId="3CE9F6F2" w:rsidR="003B0DCA" w:rsidRDefault="003B0DCA" w:rsidP="005E11AB">
            <w:pPr>
              <w:rPr>
                <w:rStyle w:val="s5"/>
                <w:rFonts w:ascii="Verdana" w:hAnsi="Verdana"/>
                <w:i/>
                <w:iCs/>
                <w:sz w:val="18"/>
                <w:szCs w:val="18"/>
                <w:lang w:val="es-ES"/>
              </w:rPr>
            </w:pPr>
            <w:r>
              <w:rPr>
                <w:rStyle w:val="s5"/>
                <w:rFonts w:ascii="Verdana" w:hAnsi="Verdana"/>
                <w:i/>
                <w:iCs/>
                <w:sz w:val="18"/>
                <w:szCs w:val="18"/>
                <w:lang w:val="es-ES"/>
              </w:rPr>
              <w:t xml:space="preserve"> </w:t>
            </w:r>
            <w:r w:rsidRPr="003B0DCA">
              <w:rPr>
                <w:rStyle w:val="s5"/>
                <w:rFonts w:ascii="Verdana" w:hAnsi="Verdana"/>
                <w:i/>
                <w:iCs/>
                <w:sz w:val="18"/>
                <w:szCs w:val="18"/>
                <w:lang w:val="es-ES"/>
              </w:rPr>
              <w:t xml:space="preserve"> </w:t>
            </w:r>
            <w:r w:rsidRPr="003B0DCA">
              <w:rPr>
                <w:rStyle w:val="s5"/>
                <w:rFonts w:ascii="Verdana" w:eastAsia="Times New Roman" w:hAnsi="Verdana"/>
                <w:i/>
                <w:iCs/>
                <w:color w:val="000000"/>
                <w:sz w:val="18"/>
                <w:szCs w:val="18"/>
                <w:lang w:val="es-ES"/>
              </w:rPr>
              <w:t xml:space="preserve">Secretaría Auxiliar para la Reglamentación y Acreditación de </w:t>
            </w:r>
            <w:r w:rsidRPr="003B0DCA">
              <w:rPr>
                <w:rStyle w:val="s5"/>
                <w:rFonts w:ascii="Verdana" w:eastAsia="Times New Roman" w:hAnsi="Verdana"/>
                <w:i/>
                <w:iCs/>
                <w:color w:val="000000"/>
                <w:sz w:val="18"/>
                <w:szCs w:val="18"/>
                <w:u w:val="single"/>
                <w:lang w:val="es-ES"/>
              </w:rPr>
              <w:t>Profesionales</w:t>
            </w:r>
            <w:r w:rsidRPr="003B0DCA">
              <w:rPr>
                <w:rStyle w:val="s5"/>
                <w:rFonts w:ascii="Verdana" w:eastAsia="Times New Roman" w:hAnsi="Verdana"/>
                <w:i/>
                <w:iCs/>
                <w:color w:val="000000"/>
                <w:sz w:val="18"/>
                <w:szCs w:val="18"/>
                <w:lang w:val="es-ES"/>
              </w:rPr>
              <w:t xml:space="preserve"> de la Salud | Junta de Licenciamiento</w:t>
            </w:r>
            <w:r w:rsidRPr="003B0DCA">
              <w:rPr>
                <w:rStyle w:val="s5"/>
                <w:rFonts w:ascii="Verdana" w:hAnsi="Verdana"/>
                <w:i/>
                <w:iCs/>
                <w:sz w:val="18"/>
                <w:szCs w:val="18"/>
                <w:lang w:val="es-ES"/>
              </w:rPr>
              <w:t xml:space="preserve"> </w:t>
            </w:r>
          </w:p>
          <w:p w14:paraId="31780606" w14:textId="31484774" w:rsidR="00BA79C0" w:rsidRDefault="003B0DCA" w:rsidP="005E11AB">
            <w:pPr>
              <w:rPr>
                <w:lang w:val="es-PR"/>
              </w:rPr>
            </w:pPr>
            <w:r>
              <w:rPr>
                <w:rStyle w:val="s5"/>
                <w:rFonts w:ascii="Verdana" w:hAnsi="Verdana"/>
                <w:i/>
                <w:iCs/>
                <w:sz w:val="18"/>
                <w:szCs w:val="18"/>
                <w:lang w:val="es-ES"/>
              </w:rPr>
              <w:t xml:space="preserve">   </w:t>
            </w:r>
            <w:r w:rsidRPr="003B0DCA">
              <w:rPr>
                <w:rStyle w:val="s5"/>
                <w:rFonts w:ascii="Verdana" w:eastAsia="Times New Roman" w:hAnsi="Verdana"/>
                <w:i/>
                <w:iCs/>
                <w:color w:val="000000"/>
                <w:sz w:val="18"/>
                <w:szCs w:val="18"/>
                <w:lang w:val="es-ES"/>
              </w:rPr>
              <w:t xml:space="preserve">Junta </w:t>
            </w:r>
            <w:proofErr w:type="spellStart"/>
            <w:r w:rsidRPr="003B0DCA">
              <w:rPr>
                <w:rStyle w:val="s5"/>
                <w:rFonts w:ascii="Verdana" w:eastAsia="Times New Roman" w:hAnsi="Verdana"/>
                <w:i/>
                <w:iCs/>
                <w:color w:val="000000"/>
                <w:sz w:val="18"/>
                <w:szCs w:val="18"/>
                <w:lang w:val="es-ES"/>
              </w:rPr>
              <w:t>Reglamentadora</w:t>
            </w:r>
            <w:proofErr w:type="spellEnd"/>
            <w:r w:rsidRPr="003B0DCA">
              <w:rPr>
                <w:rStyle w:val="s5"/>
                <w:rFonts w:ascii="Verdana" w:eastAsia="Times New Roman" w:hAnsi="Verdana"/>
                <w:i/>
                <w:iCs/>
                <w:color w:val="000000"/>
                <w:sz w:val="18"/>
                <w:szCs w:val="18"/>
                <w:lang w:val="es-ES"/>
              </w:rPr>
              <w:t xml:space="preserve"> de Cannabis Medicinal (JRCM)</w:t>
            </w:r>
            <w:r w:rsidR="00BA79C0" w:rsidRPr="003B0DCA">
              <w:rPr>
                <w:lang w:val="es-PR"/>
              </w:rPr>
              <w:t>)</w:t>
            </w:r>
          </w:p>
        </w:tc>
        <w:tc>
          <w:tcPr>
            <w:tcW w:w="5580" w:type="dxa"/>
          </w:tcPr>
          <w:p w14:paraId="648BF1FD" w14:textId="77777777" w:rsidR="00BA79C0" w:rsidRDefault="00BA79C0" w:rsidP="005E11AB">
            <w:pPr>
              <w:rPr>
                <w:lang w:val="es-PR"/>
              </w:rPr>
            </w:pPr>
          </w:p>
        </w:tc>
      </w:tr>
      <w:tr w:rsidR="00B0575A" w:rsidRPr="001F5387" w14:paraId="6372D261" w14:textId="77777777" w:rsidTr="003B0DCA">
        <w:trPr>
          <w:trHeight w:val="350"/>
        </w:trPr>
        <w:tc>
          <w:tcPr>
            <w:tcW w:w="4675" w:type="dxa"/>
          </w:tcPr>
          <w:p w14:paraId="2917C42D" w14:textId="20220E3E" w:rsidR="00B0575A" w:rsidRDefault="00B0575A" w:rsidP="005E11AB">
            <w:pPr>
              <w:rPr>
                <w:lang w:val="es-PR"/>
              </w:rPr>
            </w:pPr>
            <w:r>
              <w:rPr>
                <w:lang w:val="es-PR"/>
              </w:rPr>
              <w:t>Instituto de Ciencias Forenses</w:t>
            </w:r>
          </w:p>
        </w:tc>
        <w:tc>
          <w:tcPr>
            <w:tcW w:w="5580" w:type="dxa"/>
          </w:tcPr>
          <w:p w14:paraId="0FCDC107" w14:textId="77777777" w:rsidR="00B0575A" w:rsidRDefault="00B0575A" w:rsidP="005E11AB">
            <w:pPr>
              <w:rPr>
                <w:lang w:val="es-PR"/>
              </w:rPr>
            </w:pPr>
          </w:p>
        </w:tc>
      </w:tr>
      <w:tr w:rsidR="007B3D55" w:rsidRPr="001F5387" w14:paraId="04D7F853" w14:textId="77777777" w:rsidTr="003B0DCA">
        <w:trPr>
          <w:trHeight w:val="350"/>
        </w:trPr>
        <w:tc>
          <w:tcPr>
            <w:tcW w:w="4675" w:type="dxa"/>
          </w:tcPr>
          <w:p w14:paraId="4FDAF39D" w14:textId="35CD480A" w:rsidR="007B3D55" w:rsidRDefault="007B3D55" w:rsidP="005E11AB">
            <w:pPr>
              <w:rPr>
                <w:lang w:val="es-PR"/>
              </w:rPr>
            </w:pPr>
            <w:r>
              <w:rPr>
                <w:lang w:val="es-PR"/>
              </w:rPr>
              <w:t>GM SECTEC (Cybersecurity)</w:t>
            </w:r>
          </w:p>
        </w:tc>
        <w:tc>
          <w:tcPr>
            <w:tcW w:w="5580" w:type="dxa"/>
          </w:tcPr>
          <w:p w14:paraId="1DC0B477" w14:textId="77777777" w:rsidR="007B3D55" w:rsidRDefault="007B3D55" w:rsidP="005E11AB">
            <w:pPr>
              <w:rPr>
                <w:lang w:val="es-PR"/>
              </w:rPr>
            </w:pPr>
          </w:p>
        </w:tc>
      </w:tr>
      <w:tr w:rsidR="00B834AB" w:rsidRPr="009327E7" w14:paraId="0CF63D36" w14:textId="77777777" w:rsidTr="003B0DCA">
        <w:trPr>
          <w:trHeight w:val="350"/>
        </w:trPr>
        <w:tc>
          <w:tcPr>
            <w:tcW w:w="4675" w:type="dxa"/>
          </w:tcPr>
          <w:p w14:paraId="1A7189C5" w14:textId="7748BAAA" w:rsidR="00B834AB" w:rsidRDefault="00B834AB" w:rsidP="005E11AB">
            <w:pPr>
              <w:rPr>
                <w:lang w:val="es-PR"/>
              </w:rPr>
            </w:pPr>
            <w:proofErr w:type="spellStart"/>
            <w:r>
              <w:rPr>
                <w:lang w:val="es-PR"/>
              </w:rPr>
              <w:t>Earthjustice</w:t>
            </w:r>
            <w:proofErr w:type="spellEnd"/>
          </w:p>
        </w:tc>
        <w:tc>
          <w:tcPr>
            <w:tcW w:w="5580" w:type="dxa"/>
          </w:tcPr>
          <w:p w14:paraId="10BF10DA" w14:textId="504311AB" w:rsidR="00B834AB" w:rsidRDefault="00B834AB" w:rsidP="005E11AB">
            <w:pPr>
              <w:rPr>
                <w:lang w:val="es-PR"/>
              </w:rPr>
            </w:pPr>
            <w:r>
              <w:rPr>
                <w:lang w:val="es-PR"/>
              </w:rPr>
              <w:t xml:space="preserve">información y solicitud: </w:t>
            </w:r>
            <w:hyperlink r:id="rId9" w:history="1">
              <w:r w:rsidR="00BE51C8" w:rsidRPr="00F92175">
                <w:rPr>
                  <w:rStyle w:val="Hyperlink"/>
                  <w:lang w:val="es-PR"/>
                </w:rPr>
                <w:t>https://earthjustice.org/about/jobs/41972/fall-2022-legal-externship-puerto-rico-team</w:t>
              </w:r>
            </w:hyperlink>
          </w:p>
        </w:tc>
      </w:tr>
      <w:tr w:rsidR="00BE51C8" w:rsidRPr="009327E7" w14:paraId="6129527C" w14:textId="77777777" w:rsidTr="003B0DCA">
        <w:trPr>
          <w:trHeight w:val="350"/>
        </w:trPr>
        <w:tc>
          <w:tcPr>
            <w:tcW w:w="4675" w:type="dxa"/>
          </w:tcPr>
          <w:p w14:paraId="47699126" w14:textId="1DFF0715" w:rsidR="00BE51C8" w:rsidRDefault="00BE51C8" w:rsidP="005E11AB">
            <w:pPr>
              <w:rPr>
                <w:lang w:val="es-PR"/>
              </w:rPr>
            </w:pPr>
            <w:r>
              <w:rPr>
                <w:lang w:val="es-PR"/>
              </w:rPr>
              <w:t>Centro para Puerto Rico (de Fundacion Sila M. Calderon)</w:t>
            </w:r>
          </w:p>
        </w:tc>
        <w:tc>
          <w:tcPr>
            <w:tcW w:w="5580" w:type="dxa"/>
          </w:tcPr>
          <w:p w14:paraId="37F23007" w14:textId="77777777" w:rsidR="00BE51C8" w:rsidRDefault="00BE51C8" w:rsidP="005E11AB">
            <w:pPr>
              <w:rPr>
                <w:lang w:val="es-PR"/>
              </w:rPr>
            </w:pPr>
          </w:p>
        </w:tc>
      </w:tr>
      <w:tr w:rsidR="005774C6" w:rsidRPr="009327E7" w14:paraId="01852F5A" w14:textId="77777777" w:rsidTr="003B0DCA">
        <w:trPr>
          <w:trHeight w:val="350"/>
        </w:trPr>
        <w:tc>
          <w:tcPr>
            <w:tcW w:w="4675" w:type="dxa"/>
          </w:tcPr>
          <w:p w14:paraId="77B68A46" w14:textId="77777777" w:rsidR="005774C6" w:rsidRDefault="005774C6" w:rsidP="005E11AB">
            <w:pPr>
              <w:rPr>
                <w:lang w:val="es-PR"/>
              </w:rPr>
            </w:pPr>
            <w:r>
              <w:rPr>
                <w:lang w:val="es-PR"/>
              </w:rPr>
              <w:t>Cámara de Representantes</w:t>
            </w:r>
          </w:p>
          <w:p w14:paraId="30E399F0" w14:textId="77777777" w:rsidR="005774C6" w:rsidRDefault="005774C6" w:rsidP="005774C6">
            <w:pPr>
              <w:rPr>
                <w:lang w:val="es-PR"/>
              </w:rPr>
            </w:pPr>
            <w:r>
              <w:rPr>
                <w:lang w:val="es-PR"/>
              </w:rPr>
              <w:t>Oficina Lcda. Mariana Nogales</w:t>
            </w:r>
          </w:p>
          <w:p w14:paraId="18FFA62B" w14:textId="442E4D55" w:rsidR="009327E7" w:rsidRDefault="005774C6" w:rsidP="005774C6">
            <w:pPr>
              <w:rPr>
                <w:lang w:val="es-PR"/>
              </w:rPr>
            </w:pPr>
            <w:r>
              <w:rPr>
                <w:lang w:val="es-PR"/>
              </w:rPr>
              <w:t>Oficina Lcdo. Bernardo Márquez</w:t>
            </w:r>
          </w:p>
        </w:tc>
        <w:tc>
          <w:tcPr>
            <w:tcW w:w="5580" w:type="dxa"/>
          </w:tcPr>
          <w:p w14:paraId="229677F8" w14:textId="720CE2C6" w:rsidR="005774C6" w:rsidRDefault="005774C6" w:rsidP="005E11AB">
            <w:pPr>
              <w:rPr>
                <w:lang w:val="es-PR"/>
              </w:rPr>
            </w:pPr>
          </w:p>
        </w:tc>
      </w:tr>
      <w:tr w:rsidR="0085177A" w:rsidRPr="009327E7" w14:paraId="78744E9A" w14:textId="77777777" w:rsidTr="003B0DCA">
        <w:trPr>
          <w:trHeight w:val="350"/>
        </w:trPr>
        <w:tc>
          <w:tcPr>
            <w:tcW w:w="4675" w:type="dxa"/>
          </w:tcPr>
          <w:p w14:paraId="2D43EFE4" w14:textId="1CF7AA8C" w:rsidR="0085177A" w:rsidRDefault="00DD2EB9" w:rsidP="005E11AB">
            <w:pPr>
              <w:rPr>
                <w:lang w:val="es-PR"/>
              </w:rPr>
            </w:pPr>
            <w:r>
              <w:rPr>
                <w:lang w:val="es-PR"/>
              </w:rPr>
              <w:t>AAA – Oficina Legal</w:t>
            </w:r>
          </w:p>
        </w:tc>
        <w:tc>
          <w:tcPr>
            <w:tcW w:w="5580" w:type="dxa"/>
          </w:tcPr>
          <w:p w14:paraId="2256D69F" w14:textId="6FBCB4F6" w:rsidR="0085177A" w:rsidRDefault="000E34E8" w:rsidP="005E11AB">
            <w:pPr>
              <w:rPr>
                <w:lang w:val="es-PR"/>
              </w:rPr>
            </w:pPr>
            <w:r>
              <w:rPr>
                <w:lang w:val="es-PR"/>
              </w:rPr>
              <w:t>Haber tomado o estar tomando los cursos de Derecho Hipotecario y Notarial</w:t>
            </w:r>
          </w:p>
        </w:tc>
      </w:tr>
      <w:tr w:rsidR="009327E7" w:rsidRPr="009327E7" w14:paraId="4E1FD84A" w14:textId="77777777" w:rsidTr="003B0DCA">
        <w:trPr>
          <w:trHeight w:val="350"/>
        </w:trPr>
        <w:tc>
          <w:tcPr>
            <w:tcW w:w="4675" w:type="dxa"/>
          </w:tcPr>
          <w:p w14:paraId="43B4E76B" w14:textId="71474A1D" w:rsidR="009327E7" w:rsidRDefault="009327E7" w:rsidP="005E11AB">
            <w:pPr>
              <w:rPr>
                <w:lang w:val="es-PR"/>
              </w:rPr>
            </w:pPr>
            <w:r>
              <w:rPr>
                <w:lang w:val="es-PR"/>
              </w:rPr>
              <w:t>Oficina de Participación Ciudadana (Servicios Legislativos)</w:t>
            </w:r>
          </w:p>
        </w:tc>
        <w:tc>
          <w:tcPr>
            <w:tcW w:w="5580" w:type="dxa"/>
          </w:tcPr>
          <w:p w14:paraId="0E1EC95E" w14:textId="77777777" w:rsidR="009327E7" w:rsidRDefault="009327E7" w:rsidP="005E11AB">
            <w:pPr>
              <w:rPr>
                <w:lang w:val="es-PR"/>
              </w:rPr>
            </w:pPr>
          </w:p>
        </w:tc>
      </w:tr>
    </w:tbl>
    <w:p w14:paraId="5B7C07ED" w14:textId="6B5474AA" w:rsidR="00961DB7" w:rsidRDefault="00961DB7" w:rsidP="00961DB7">
      <w:pPr>
        <w:rPr>
          <w:lang w:val="es-PR"/>
        </w:rPr>
      </w:pPr>
    </w:p>
    <w:p w14:paraId="4048F2C1" w14:textId="71C06170" w:rsidR="00D07437" w:rsidRDefault="00D07437" w:rsidP="00961DB7">
      <w:pPr>
        <w:rPr>
          <w:lang w:val="es-PR"/>
        </w:rPr>
      </w:pPr>
      <w:r>
        <w:rPr>
          <w:lang w:val="es-PR"/>
        </w:rPr>
        <w:t xml:space="preserve">Nota: Algunos de los </w:t>
      </w:r>
      <w:r w:rsidR="00BC643A">
        <w:rPr>
          <w:lang w:val="es-PR"/>
        </w:rPr>
        <w:t>centros de práctica</w:t>
      </w:r>
      <w:r>
        <w:rPr>
          <w:lang w:val="es-PR"/>
        </w:rPr>
        <w:t xml:space="preserve"> participantes podrían requerir documentos o procesos adicionales no incluidos en la tabla. </w:t>
      </w:r>
      <w:r w:rsidR="00824BCD">
        <w:rPr>
          <w:lang w:val="es-PR"/>
        </w:rPr>
        <w:t xml:space="preserve">Se le avisará al estudiante tan pronto se nos solicite la información durante el proceso de ubicación. </w:t>
      </w:r>
    </w:p>
    <w:p w14:paraId="7C6707E9" w14:textId="220572B2" w:rsidR="00AF2364" w:rsidRDefault="00AF2364" w:rsidP="00961DB7">
      <w:pPr>
        <w:rPr>
          <w:b/>
          <w:bCs/>
          <w:lang w:val="es-PR"/>
        </w:rPr>
      </w:pPr>
      <w:r w:rsidRPr="00AF2364">
        <w:rPr>
          <w:b/>
          <w:bCs/>
          <w:lang w:val="es-PR"/>
        </w:rPr>
        <w:t xml:space="preserve">De algún centro que le interese no estar en la tabla, puede hacer la solicitud y hacemos el contacto. </w:t>
      </w:r>
    </w:p>
    <w:sectPr w:rsidR="00AF2364" w:rsidSect="00A01159">
      <w:headerReference w:type="default" r:id="rId10"/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C1854" w14:textId="77777777" w:rsidR="00856F57" w:rsidRDefault="00856F57" w:rsidP="00A01159">
      <w:pPr>
        <w:spacing w:after="0" w:line="240" w:lineRule="auto"/>
      </w:pPr>
      <w:r>
        <w:separator/>
      </w:r>
    </w:p>
  </w:endnote>
  <w:endnote w:type="continuationSeparator" w:id="0">
    <w:p w14:paraId="636CB431" w14:textId="77777777" w:rsidR="00856F57" w:rsidRDefault="00856F57" w:rsidP="00A01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BA91F" w14:textId="77777777" w:rsidR="00856F57" w:rsidRDefault="00856F57" w:rsidP="00A01159">
      <w:pPr>
        <w:spacing w:after="0" w:line="240" w:lineRule="auto"/>
      </w:pPr>
      <w:r>
        <w:separator/>
      </w:r>
    </w:p>
  </w:footnote>
  <w:footnote w:type="continuationSeparator" w:id="0">
    <w:p w14:paraId="1E08F8E7" w14:textId="77777777" w:rsidR="00856F57" w:rsidRDefault="00856F57" w:rsidP="00A01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3F2D2" w14:textId="4F08FD16" w:rsidR="00C166D0" w:rsidRDefault="00C166D0" w:rsidP="00A01159">
    <w:pPr>
      <w:pStyle w:val="Header"/>
      <w:jc w:val="center"/>
      <w:rPr>
        <w:b/>
        <w:lang w:val="es-PR"/>
      </w:rPr>
    </w:pPr>
    <w:r w:rsidRPr="00A01159">
      <w:rPr>
        <w:b/>
        <w:lang w:val="es-PR"/>
      </w:rPr>
      <w:t>TRIBUNALES Y AGENCIAS PARTICIPANDO DEL CURSO “TALLER DE PRÁCTICA” DE SEMESTRE</w:t>
    </w:r>
  </w:p>
  <w:p w14:paraId="26E2246A" w14:textId="77777777" w:rsidR="00C166D0" w:rsidRDefault="00C166D0" w:rsidP="00A01159">
    <w:pPr>
      <w:pStyle w:val="Header"/>
      <w:jc w:val="center"/>
      <w:rPr>
        <w:b/>
        <w:lang w:val="es-P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025B4"/>
    <w:multiLevelType w:val="hybridMultilevel"/>
    <w:tmpl w:val="4BBCE99C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4910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DB7"/>
    <w:rsid w:val="000270AB"/>
    <w:rsid w:val="00045BBE"/>
    <w:rsid w:val="00071A21"/>
    <w:rsid w:val="00086672"/>
    <w:rsid w:val="000918CA"/>
    <w:rsid w:val="00096450"/>
    <w:rsid w:val="000B2692"/>
    <w:rsid w:val="000C715D"/>
    <w:rsid w:val="000D3891"/>
    <w:rsid w:val="000D42A3"/>
    <w:rsid w:val="000E34E8"/>
    <w:rsid w:val="00107374"/>
    <w:rsid w:val="00132CFE"/>
    <w:rsid w:val="00167021"/>
    <w:rsid w:val="00174DF4"/>
    <w:rsid w:val="0018100D"/>
    <w:rsid w:val="0019272B"/>
    <w:rsid w:val="00196574"/>
    <w:rsid w:val="00197D70"/>
    <w:rsid w:val="001A2DC7"/>
    <w:rsid w:val="001C0500"/>
    <w:rsid w:val="001C6A8F"/>
    <w:rsid w:val="001D2A96"/>
    <w:rsid w:val="001E17BB"/>
    <w:rsid w:val="001E391B"/>
    <w:rsid w:val="001F37D2"/>
    <w:rsid w:val="001F5387"/>
    <w:rsid w:val="001F5B84"/>
    <w:rsid w:val="002119C6"/>
    <w:rsid w:val="002369B2"/>
    <w:rsid w:val="00247384"/>
    <w:rsid w:val="002617AE"/>
    <w:rsid w:val="00263EF3"/>
    <w:rsid w:val="0028141B"/>
    <w:rsid w:val="00282D9E"/>
    <w:rsid w:val="00295D44"/>
    <w:rsid w:val="002A06BE"/>
    <w:rsid w:val="00315129"/>
    <w:rsid w:val="003616DD"/>
    <w:rsid w:val="003634FB"/>
    <w:rsid w:val="003B0DCA"/>
    <w:rsid w:val="003D4BEA"/>
    <w:rsid w:val="003D7E88"/>
    <w:rsid w:val="003E1819"/>
    <w:rsid w:val="003E20F3"/>
    <w:rsid w:val="003F54B1"/>
    <w:rsid w:val="00422542"/>
    <w:rsid w:val="0042663D"/>
    <w:rsid w:val="00454D06"/>
    <w:rsid w:val="00483FE5"/>
    <w:rsid w:val="004D1B6C"/>
    <w:rsid w:val="005033AD"/>
    <w:rsid w:val="00503413"/>
    <w:rsid w:val="00521956"/>
    <w:rsid w:val="00567D5B"/>
    <w:rsid w:val="00571442"/>
    <w:rsid w:val="005774C6"/>
    <w:rsid w:val="005A0443"/>
    <w:rsid w:val="005C08D6"/>
    <w:rsid w:val="005E11AB"/>
    <w:rsid w:val="005E51E7"/>
    <w:rsid w:val="005F5799"/>
    <w:rsid w:val="00626ABE"/>
    <w:rsid w:val="006377AC"/>
    <w:rsid w:val="00671022"/>
    <w:rsid w:val="006A37DC"/>
    <w:rsid w:val="006B420C"/>
    <w:rsid w:val="006C66A8"/>
    <w:rsid w:val="006D04DE"/>
    <w:rsid w:val="006D6C26"/>
    <w:rsid w:val="006F5A91"/>
    <w:rsid w:val="007121D7"/>
    <w:rsid w:val="00713785"/>
    <w:rsid w:val="00720883"/>
    <w:rsid w:val="007278AB"/>
    <w:rsid w:val="007350C6"/>
    <w:rsid w:val="00771C6E"/>
    <w:rsid w:val="007871A8"/>
    <w:rsid w:val="007964BE"/>
    <w:rsid w:val="007A1516"/>
    <w:rsid w:val="007A7321"/>
    <w:rsid w:val="007B0182"/>
    <w:rsid w:val="007B2575"/>
    <w:rsid w:val="007B3D55"/>
    <w:rsid w:val="007C64B5"/>
    <w:rsid w:val="007D6D54"/>
    <w:rsid w:val="007E12CE"/>
    <w:rsid w:val="007E3B34"/>
    <w:rsid w:val="00824BCD"/>
    <w:rsid w:val="00826552"/>
    <w:rsid w:val="00845491"/>
    <w:rsid w:val="00847F67"/>
    <w:rsid w:val="0085177A"/>
    <w:rsid w:val="00856F57"/>
    <w:rsid w:val="0086417E"/>
    <w:rsid w:val="008772A0"/>
    <w:rsid w:val="00885901"/>
    <w:rsid w:val="0089102C"/>
    <w:rsid w:val="008938BC"/>
    <w:rsid w:val="008A162F"/>
    <w:rsid w:val="008A24AA"/>
    <w:rsid w:val="008A723A"/>
    <w:rsid w:val="008A7366"/>
    <w:rsid w:val="008B33AB"/>
    <w:rsid w:val="008B608E"/>
    <w:rsid w:val="008C2DCA"/>
    <w:rsid w:val="008F2873"/>
    <w:rsid w:val="009106C0"/>
    <w:rsid w:val="00912FF3"/>
    <w:rsid w:val="00920BDF"/>
    <w:rsid w:val="009215F5"/>
    <w:rsid w:val="00924438"/>
    <w:rsid w:val="00926FDC"/>
    <w:rsid w:val="009303C4"/>
    <w:rsid w:val="009327E7"/>
    <w:rsid w:val="009402A4"/>
    <w:rsid w:val="009503E6"/>
    <w:rsid w:val="00961292"/>
    <w:rsid w:val="00961DB7"/>
    <w:rsid w:val="009622BD"/>
    <w:rsid w:val="009717C4"/>
    <w:rsid w:val="009731B9"/>
    <w:rsid w:val="00987730"/>
    <w:rsid w:val="009B6AA0"/>
    <w:rsid w:val="009D5D76"/>
    <w:rsid w:val="009E707A"/>
    <w:rsid w:val="009E71AE"/>
    <w:rsid w:val="009F01BF"/>
    <w:rsid w:val="00A01159"/>
    <w:rsid w:val="00A16FA8"/>
    <w:rsid w:val="00A8252D"/>
    <w:rsid w:val="00AB3785"/>
    <w:rsid w:val="00AB5013"/>
    <w:rsid w:val="00AC74F3"/>
    <w:rsid w:val="00AD150A"/>
    <w:rsid w:val="00AD4D36"/>
    <w:rsid w:val="00AF2364"/>
    <w:rsid w:val="00B0575A"/>
    <w:rsid w:val="00B13FED"/>
    <w:rsid w:val="00B26BF1"/>
    <w:rsid w:val="00B74CDF"/>
    <w:rsid w:val="00B8343D"/>
    <w:rsid w:val="00B834AB"/>
    <w:rsid w:val="00B87E17"/>
    <w:rsid w:val="00B95681"/>
    <w:rsid w:val="00BA79C0"/>
    <w:rsid w:val="00BB762E"/>
    <w:rsid w:val="00BC643A"/>
    <w:rsid w:val="00BE51C8"/>
    <w:rsid w:val="00BF2E59"/>
    <w:rsid w:val="00C166D0"/>
    <w:rsid w:val="00C23D1D"/>
    <w:rsid w:val="00C27519"/>
    <w:rsid w:val="00C611C5"/>
    <w:rsid w:val="00C67E9C"/>
    <w:rsid w:val="00C70C13"/>
    <w:rsid w:val="00C802FC"/>
    <w:rsid w:val="00C90CD0"/>
    <w:rsid w:val="00CB36B6"/>
    <w:rsid w:val="00CD21C2"/>
    <w:rsid w:val="00CD609A"/>
    <w:rsid w:val="00D07437"/>
    <w:rsid w:val="00D17143"/>
    <w:rsid w:val="00D97516"/>
    <w:rsid w:val="00DD2EB9"/>
    <w:rsid w:val="00E12A4A"/>
    <w:rsid w:val="00E1343D"/>
    <w:rsid w:val="00E24C7D"/>
    <w:rsid w:val="00E3009E"/>
    <w:rsid w:val="00E461F5"/>
    <w:rsid w:val="00E6003E"/>
    <w:rsid w:val="00E62670"/>
    <w:rsid w:val="00E970A2"/>
    <w:rsid w:val="00EB5BDE"/>
    <w:rsid w:val="00ED7AB3"/>
    <w:rsid w:val="00EF0561"/>
    <w:rsid w:val="00F04AD9"/>
    <w:rsid w:val="00F04C92"/>
    <w:rsid w:val="00F427F6"/>
    <w:rsid w:val="00F44631"/>
    <w:rsid w:val="00F662FA"/>
    <w:rsid w:val="00F81D76"/>
    <w:rsid w:val="00FF4029"/>
    <w:rsid w:val="00FF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A3ADA0"/>
  <w15:docId w15:val="{8B4C068F-DE07-4802-A38F-C038291DA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0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1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1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159"/>
  </w:style>
  <w:style w:type="paragraph" w:styleId="Footer">
    <w:name w:val="footer"/>
    <w:basedOn w:val="Normal"/>
    <w:link w:val="FooterChar"/>
    <w:uiPriority w:val="99"/>
    <w:unhideWhenUsed/>
    <w:rsid w:val="00A01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159"/>
  </w:style>
  <w:style w:type="paragraph" w:styleId="ListParagraph">
    <w:name w:val="List Paragraph"/>
    <w:basedOn w:val="Normal"/>
    <w:uiPriority w:val="34"/>
    <w:qFormat/>
    <w:rsid w:val="00F04A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1D76"/>
    <w:rPr>
      <w:color w:val="0000FF"/>
      <w:u w:val="single"/>
    </w:rPr>
  </w:style>
  <w:style w:type="character" w:customStyle="1" w:styleId="s5">
    <w:name w:val="s5"/>
    <w:basedOn w:val="DefaultParagraphFont"/>
    <w:rsid w:val="003B0DCA"/>
  </w:style>
  <w:style w:type="character" w:customStyle="1" w:styleId="apple-converted-space">
    <w:name w:val="apple-converted-space"/>
    <w:basedOn w:val="DefaultParagraphFont"/>
    <w:rsid w:val="003B0DCA"/>
  </w:style>
  <w:style w:type="character" w:styleId="UnresolvedMention">
    <w:name w:val="Unresolved Mention"/>
    <w:basedOn w:val="DefaultParagraphFont"/>
    <w:uiPriority w:val="99"/>
    <w:semiHidden/>
    <w:unhideWhenUsed/>
    <w:rsid w:val="00BE51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2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rmary.Figueroa@ice.dhs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na.Avila@ice.dhs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arthjustice.org/about/jobs/41972/fall-2022-legal-externship-puerto-rico-te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CORTES RAMOS</dc:creator>
  <cp:lastModifiedBy>Carmen Cortes</cp:lastModifiedBy>
  <cp:revision>6</cp:revision>
  <cp:lastPrinted>2016-12-01T03:38:00Z</cp:lastPrinted>
  <dcterms:created xsi:type="dcterms:W3CDTF">2022-11-11T18:09:00Z</dcterms:created>
  <dcterms:modified xsi:type="dcterms:W3CDTF">2022-12-19T14:16:00Z</dcterms:modified>
</cp:coreProperties>
</file>